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仿宋_GB2312" w:cs="Times New Roman"/>
          <w:color w:val="auto"/>
          <w:sz w:val="28"/>
        </w:rPr>
      </w:pPr>
    </w:p>
    <w:p>
      <w:pPr>
        <w:jc w:val="center"/>
        <w:rPr>
          <w:rFonts w:hint="default" w:ascii="Times New Roman" w:hAnsi="Times New Roman" w:eastAsia="仿宋_GB2312" w:cs="Times New Roman"/>
          <w:color w:val="auto"/>
          <w:sz w:val="28"/>
        </w:rPr>
      </w:pPr>
      <w:bookmarkStart w:id="2" w:name="_GoBack"/>
    </w:p>
    <w:p>
      <w:pPr>
        <w:jc w:val="center"/>
        <w:rPr>
          <w:rFonts w:hint="default" w:ascii="Times New Roman" w:hAnsi="Times New Roman" w:eastAsia="仿宋_GB2312" w:cs="Times New Roman"/>
          <w:color w:val="auto"/>
          <w:sz w:val="28"/>
        </w:rPr>
      </w:pPr>
    </w:p>
    <w:p>
      <w:pPr>
        <w:pStyle w:val="2"/>
        <w:spacing w:before="156" w:after="156"/>
        <w:rPr>
          <w:rFonts w:hint="default" w:ascii="Times New Roman" w:hAnsi="Times New Roman" w:eastAsia="华文新魏" w:cs="Times New Roman"/>
          <w:b/>
          <w:color w:val="auto"/>
          <w:sz w:val="44"/>
          <w:szCs w:val="44"/>
          <w:lang w:val="en-US" w:eastAsia="zh-CN" w:bidi="ar-SA"/>
        </w:rPr>
      </w:pPr>
    </w:p>
    <w:p>
      <w:pPr>
        <w:ind w:left="281" w:hanging="440" w:hangingChars="100"/>
        <w:jc w:val="center"/>
        <w:rPr>
          <w:rFonts w:hint="default" w:ascii="Times New Roman" w:hAnsi="Times New Roman" w:eastAsia="华文新魏" w:cs="Times New Roman"/>
          <w:b/>
          <w:color w:val="auto"/>
          <w:sz w:val="44"/>
          <w:szCs w:val="44"/>
          <w:lang w:val="en-US" w:eastAsia="zh-CN" w:bidi="ar-SA"/>
        </w:rPr>
      </w:pPr>
      <w:r>
        <w:rPr>
          <w:rFonts w:hint="default" w:ascii="Times New Roman" w:hAnsi="Times New Roman" w:eastAsia="华文新魏" w:cs="Times New Roman"/>
          <w:b/>
          <w:color w:val="auto"/>
          <w:sz w:val="44"/>
          <w:szCs w:val="44"/>
          <w:lang w:val="en-US" w:eastAsia="zh-CN" w:bidi="ar-SA"/>
        </w:rPr>
        <w:t>陕西勇轩建材有限公司年产经营30万立方米预拌混凝土项目</w:t>
      </w:r>
    </w:p>
    <w:p>
      <w:pPr>
        <w:ind w:left="281" w:hanging="440" w:hangingChars="100"/>
        <w:jc w:val="center"/>
        <w:rPr>
          <w:rFonts w:hint="default" w:ascii="Times New Roman" w:hAnsi="Times New Roman" w:eastAsia="华文新魏" w:cs="Times New Roman"/>
          <w:b/>
          <w:color w:val="auto"/>
          <w:sz w:val="44"/>
          <w:szCs w:val="44"/>
          <w:lang w:val="en-US" w:eastAsia="zh-CN" w:bidi="ar-SA"/>
        </w:rPr>
      </w:pPr>
      <w:r>
        <w:rPr>
          <w:rFonts w:hint="default" w:ascii="Times New Roman" w:hAnsi="Times New Roman" w:eastAsia="华文新魏" w:cs="Times New Roman"/>
          <w:b/>
          <w:color w:val="auto"/>
          <w:sz w:val="44"/>
          <w:szCs w:val="44"/>
          <w:lang w:val="en-US" w:eastAsia="zh-CN" w:bidi="ar-SA"/>
        </w:rPr>
        <w:t>固废污染防治设施竣工环境保护验收监测报告表</w:t>
      </w:r>
    </w:p>
    <w:p>
      <w:pPr>
        <w:jc w:val="center"/>
        <w:rPr>
          <w:rFonts w:hint="default" w:ascii="Times New Roman" w:hAnsi="Times New Roman" w:eastAsia="仿宋_GB2312" w:cs="Times New Roman"/>
          <w:color w:val="auto"/>
          <w:sz w:val="28"/>
        </w:rPr>
      </w:pPr>
    </w:p>
    <w:p>
      <w:pPr>
        <w:jc w:val="center"/>
        <w:rPr>
          <w:rFonts w:hint="default" w:ascii="Times New Roman" w:hAnsi="Times New Roman" w:eastAsia="仿宋_GB2312" w:cs="Times New Roman"/>
          <w:color w:val="auto"/>
          <w:sz w:val="28"/>
        </w:rPr>
      </w:pPr>
    </w:p>
    <w:p>
      <w:pPr>
        <w:jc w:val="center"/>
        <w:rPr>
          <w:rFonts w:hint="default" w:ascii="Times New Roman" w:hAnsi="Times New Roman" w:eastAsia="仿宋_GB2312" w:cs="Times New Roman"/>
          <w:color w:val="auto"/>
          <w:sz w:val="28"/>
        </w:rPr>
      </w:pPr>
    </w:p>
    <w:p>
      <w:pPr>
        <w:jc w:val="center"/>
        <w:rPr>
          <w:rFonts w:hint="default" w:ascii="Times New Roman" w:hAnsi="Times New Roman" w:eastAsia="仿宋_GB2312" w:cs="Times New Roman"/>
          <w:color w:val="auto"/>
          <w:sz w:val="28"/>
        </w:rPr>
      </w:pPr>
    </w:p>
    <w:p>
      <w:pPr>
        <w:rPr>
          <w:rFonts w:hint="default" w:ascii="Times New Roman" w:hAnsi="Times New Roman" w:eastAsia="仿宋_GB2312" w:cs="Times New Roman"/>
          <w:color w:val="auto"/>
          <w:sz w:val="28"/>
        </w:rPr>
      </w:pPr>
    </w:p>
    <w:p>
      <w:pPr>
        <w:pStyle w:val="2"/>
        <w:spacing w:before="156" w:after="156"/>
        <w:rPr>
          <w:rFonts w:hint="default" w:ascii="Times New Roman" w:hAnsi="Times New Roman" w:eastAsia="仿宋_GB2312" w:cs="Times New Roman"/>
          <w:color w:val="auto"/>
        </w:rPr>
      </w:pPr>
    </w:p>
    <w:p>
      <w:pPr>
        <w:rPr>
          <w:rFonts w:hint="default" w:ascii="Times New Roman" w:hAnsi="Times New Roman" w:cs="Times New Roman"/>
          <w:color w:val="auto"/>
        </w:rPr>
      </w:pPr>
    </w:p>
    <w:p>
      <w:pPr>
        <w:rPr>
          <w:rFonts w:hint="default" w:ascii="Times New Roman" w:hAnsi="Times New Roman" w:eastAsia="华文新魏" w:cs="Times New Roman"/>
          <w:color w:val="auto"/>
          <w:sz w:val="28"/>
          <w:szCs w:val="28"/>
        </w:rPr>
      </w:pPr>
    </w:p>
    <w:p>
      <w:pPr>
        <w:pStyle w:val="2"/>
        <w:spacing w:before="156" w:after="156"/>
        <w:rPr>
          <w:rFonts w:hint="default" w:ascii="Times New Roman" w:hAnsi="Times New Roman" w:eastAsia="华文新魏" w:cs="Times New Roman"/>
          <w:color w:val="auto"/>
          <w:szCs w:val="28"/>
        </w:rPr>
      </w:pPr>
    </w:p>
    <w:p>
      <w:pPr>
        <w:pStyle w:val="7"/>
        <w:ind w:firstLine="480"/>
        <w:rPr>
          <w:rFonts w:hint="default" w:ascii="Times New Roman" w:hAnsi="Times New Roman" w:cs="Times New Roman"/>
          <w:color w:val="auto"/>
        </w:rPr>
      </w:pPr>
    </w:p>
    <w:p>
      <w:pPr>
        <w:jc w:val="center"/>
        <w:rPr>
          <w:rFonts w:hint="default" w:ascii="Times New Roman" w:hAnsi="Times New Roman" w:eastAsia="华文新魏" w:cs="Times New Roman"/>
          <w:color w:val="auto"/>
          <w:sz w:val="32"/>
          <w:szCs w:val="32"/>
        </w:rPr>
      </w:pPr>
      <w:r>
        <w:rPr>
          <w:rFonts w:hint="default" w:ascii="Times New Roman" w:hAnsi="Times New Roman" w:eastAsia="华文新魏" w:cs="Times New Roman"/>
          <w:color w:val="auto"/>
          <w:sz w:val="32"/>
          <w:szCs w:val="32"/>
        </w:rPr>
        <w:t>建设单位：</w:t>
      </w:r>
      <w:r>
        <w:rPr>
          <w:rFonts w:hint="default" w:ascii="Times New Roman" w:hAnsi="Times New Roman" w:eastAsia="华文新魏" w:cs="Times New Roman"/>
          <w:color w:val="auto"/>
          <w:sz w:val="32"/>
          <w:szCs w:val="32"/>
          <w:lang w:val="en-US" w:eastAsia="zh-CN"/>
        </w:rPr>
        <w:t>陕西勇轩建材有限公司</w:t>
      </w:r>
    </w:p>
    <w:p>
      <w:pPr>
        <w:jc w:val="center"/>
        <w:rPr>
          <w:rFonts w:hint="default" w:ascii="Times New Roman" w:hAnsi="Times New Roman" w:eastAsia="华文新魏" w:cs="Times New Roman"/>
          <w:color w:val="auto"/>
          <w:sz w:val="32"/>
          <w:szCs w:val="32"/>
          <w:lang w:eastAsia="zh-CN"/>
        </w:rPr>
      </w:pPr>
      <w:r>
        <w:rPr>
          <w:rFonts w:hint="default" w:ascii="Times New Roman" w:hAnsi="Times New Roman" w:eastAsia="华文新魏" w:cs="Times New Roman"/>
          <w:color w:val="auto"/>
          <w:sz w:val="32"/>
          <w:szCs w:val="32"/>
        </w:rPr>
        <w:t>编制单位：</w:t>
      </w:r>
      <w:r>
        <w:rPr>
          <w:rFonts w:hint="default" w:ascii="Times New Roman" w:hAnsi="Times New Roman" w:eastAsia="华文新魏" w:cs="Times New Roman"/>
          <w:color w:val="auto"/>
          <w:sz w:val="32"/>
          <w:szCs w:val="32"/>
          <w:lang w:eastAsia="zh-CN"/>
        </w:rPr>
        <w:t>陕西阔鹏环保科技股份有限责任公司</w:t>
      </w:r>
    </w:p>
    <w:p>
      <w:pPr>
        <w:rPr>
          <w:rFonts w:hint="default" w:ascii="Times New Roman" w:hAnsi="Times New Roman" w:eastAsia="华文新魏" w:cs="Times New Roman"/>
          <w:color w:val="auto"/>
          <w:sz w:val="32"/>
          <w:szCs w:val="32"/>
        </w:rPr>
      </w:pPr>
    </w:p>
    <w:p>
      <w:pPr>
        <w:jc w:val="center"/>
        <w:rPr>
          <w:rFonts w:hint="default" w:ascii="Times New Roman" w:hAnsi="Times New Roman" w:eastAsia="仿宋_GB2312" w:cs="Times New Roman"/>
          <w:color w:val="auto"/>
          <w:sz w:val="32"/>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华文新魏" w:cs="Times New Roman"/>
          <w:color w:val="auto"/>
          <w:sz w:val="32"/>
          <w:szCs w:val="32"/>
        </w:rPr>
        <w:t>二</w:t>
      </w:r>
      <w:r>
        <w:rPr>
          <w:rFonts w:hint="default" w:ascii="Times New Roman" w:hAnsi="Times New Roman" w:cs="Times New Roman"/>
          <w:color w:val="auto"/>
          <w:sz w:val="32"/>
          <w:szCs w:val="32"/>
        </w:rPr>
        <w:t>〇</w:t>
      </w:r>
      <w:r>
        <w:rPr>
          <w:rFonts w:hint="default" w:ascii="Times New Roman" w:hAnsi="Times New Roman" w:eastAsia="华文新魏" w:cs="Times New Roman"/>
          <w:color w:val="auto"/>
          <w:sz w:val="32"/>
          <w:szCs w:val="32"/>
        </w:rPr>
        <w:t>一九年</w:t>
      </w:r>
      <w:r>
        <w:rPr>
          <w:rFonts w:hint="default" w:ascii="Times New Roman" w:hAnsi="Times New Roman" w:eastAsia="华文新魏" w:cs="Times New Roman"/>
          <w:color w:val="auto"/>
          <w:sz w:val="32"/>
          <w:szCs w:val="32"/>
          <w:lang w:eastAsia="zh-CN"/>
        </w:rPr>
        <w:t>八</w:t>
      </w:r>
      <w:r>
        <w:rPr>
          <w:rFonts w:hint="default" w:ascii="Times New Roman" w:hAnsi="Times New Roman" w:eastAsia="华文新魏" w:cs="Times New Roman"/>
          <w:color w:val="auto"/>
          <w:sz w:val="32"/>
          <w:szCs w:val="32"/>
        </w:rPr>
        <w:t>月</w:t>
      </w:r>
    </w:p>
    <w:bookmarkEnd w:id="2"/>
    <w:p>
      <w:pPr>
        <w:jc w:val="both"/>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br w:type="page"/>
      </w:r>
    </w:p>
    <w:p>
      <w:pPr>
        <w:jc w:val="both"/>
        <w:rPr>
          <w:rFonts w:hint="default" w:ascii="Times New Roman" w:hAnsi="Times New Roman" w:eastAsia="仿宋_GB2312" w:cs="Times New Roman"/>
          <w:color w:val="auto"/>
          <w:sz w:val="32"/>
        </w:rPr>
      </w:pPr>
      <w:r>
        <w:rPr>
          <w:rFonts w:hint="default" w:ascii="Times New Roman" w:hAnsi="Times New Roman" w:eastAsia="仿宋_GB2312" w:cs="Times New Roman"/>
          <w:b/>
          <w:color w:val="auto"/>
          <w:sz w:val="28"/>
        </w:rPr>
        <w:tab/>
      </w:r>
    </w:p>
    <w:p>
      <w:pPr>
        <w:rPr>
          <w:rFonts w:hint="default" w:ascii="Times New Roman" w:hAnsi="Times New Roman" w:eastAsia="仿宋_GB2312" w:cs="Times New Roman"/>
          <w:color w:val="auto"/>
          <w:sz w:val="28"/>
        </w:rPr>
      </w:pPr>
      <w:r>
        <w:rPr>
          <w:rFonts w:hint="default" w:ascii="Times New Roman" w:hAnsi="Times New Roman" w:eastAsia="仿宋_GB2312" w:cs="Times New Roman"/>
          <w:b/>
          <w:color w:val="auto"/>
          <w:sz w:val="28"/>
        </w:rPr>
        <w:t>建设单位法人代表:</w:t>
      </w:r>
      <w:r>
        <w:rPr>
          <w:rFonts w:hint="default" w:ascii="Times New Roman" w:hAnsi="Times New Roman" w:eastAsia="仿宋_GB2312" w:cs="Times New Roman"/>
          <w:color w:val="auto"/>
          <w:sz w:val="28"/>
        </w:rPr>
        <w:tab/>
      </w:r>
      <w:r>
        <w:rPr>
          <w:rFonts w:hint="default" w:ascii="Times New Roman" w:hAnsi="Times New Roman" w:eastAsia="仿宋_GB2312" w:cs="Times New Roman"/>
          <w:color w:val="auto"/>
          <w:sz w:val="28"/>
        </w:rPr>
        <w:t xml:space="preserve">          （签字）</w:t>
      </w:r>
    </w:p>
    <w:p>
      <w:pPr>
        <w:rPr>
          <w:rFonts w:hint="default" w:ascii="Times New Roman" w:hAnsi="Times New Roman" w:eastAsia="仿宋_GB2312" w:cs="Times New Roman"/>
          <w:color w:val="auto"/>
          <w:sz w:val="28"/>
        </w:rPr>
      </w:pPr>
      <w:r>
        <w:rPr>
          <w:rFonts w:hint="default" w:ascii="Times New Roman" w:hAnsi="Times New Roman" w:eastAsia="仿宋_GB2312" w:cs="Times New Roman"/>
          <w:b/>
          <w:color w:val="auto"/>
          <w:sz w:val="28"/>
        </w:rPr>
        <w:t>编制单位法人代表:</w:t>
      </w:r>
      <w:r>
        <w:rPr>
          <w:rFonts w:hint="default" w:ascii="Times New Roman" w:hAnsi="Times New Roman" w:eastAsia="仿宋_GB2312" w:cs="Times New Roman"/>
          <w:color w:val="auto"/>
          <w:sz w:val="28"/>
        </w:rPr>
        <w:tab/>
      </w:r>
      <w:r>
        <w:rPr>
          <w:rFonts w:hint="default" w:ascii="Times New Roman" w:hAnsi="Times New Roman" w:eastAsia="仿宋_GB2312" w:cs="Times New Roman"/>
          <w:color w:val="auto"/>
          <w:sz w:val="28"/>
        </w:rPr>
        <w:t xml:space="preserve">          （签字）</w:t>
      </w:r>
    </w:p>
    <w:p>
      <w:pPr>
        <w:rPr>
          <w:rFonts w:hint="default" w:ascii="Times New Roman" w:hAnsi="Times New Roman" w:eastAsia="仿宋_GB2312" w:cs="Times New Roman"/>
          <w:b/>
          <w:color w:val="auto"/>
          <w:spacing w:val="7"/>
          <w:w w:val="79"/>
          <w:sz w:val="28"/>
        </w:rPr>
      </w:pPr>
      <w:r>
        <w:rPr>
          <w:rFonts w:hint="default" w:ascii="Times New Roman" w:hAnsi="Times New Roman" w:eastAsia="仿宋_GB2312" w:cs="Times New Roman"/>
          <w:b/>
          <w:color w:val="auto"/>
          <w:spacing w:val="20"/>
          <w:w w:val="79"/>
          <w:sz w:val="28"/>
        </w:rPr>
        <w:t>项 目 负 责 人</w:t>
      </w:r>
      <w:r>
        <w:rPr>
          <w:rFonts w:hint="default" w:ascii="Times New Roman" w:hAnsi="Times New Roman" w:eastAsia="仿宋_GB2312" w:cs="Times New Roman"/>
          <w:b/>
          <w:color w:val="auto"/>
          <w:spacing w:val="10"/>
          <w:w w:val="79"/>
          <w:sz w:val="28"/>
        </w:rPr>
        <w:t>:</w:t>
      </w:r>
    </w:p>
    <w:p>
      <w:pPr>
        <w:rPr>
          <w:rFonts w:hint="default" w:ascii="Times New Roman" w:hAnsi="Times New Roman" w:eastAsia="仿宋_GB2312" w:cs="Times New Roman"/>
          <w:b/>
          <w:color w:val="auto"/>
          <w:spacing w:val="7"/>
          <w:w w:val="79"/>
          <w:sz w:val="28"/>
          <w:lang w:eastAsia="zh-CN"/>
        </w:rPr>
      </w:pPr>
      <w:r>
        <w:rPr>
          <w:rFonts w:hint="default" w:ascii="Times New Roman" w:hAnsi="Times New Roman" w:eastAsia="仿宋_GB2312" w:cs="Times New Roman"/>
          <w:b/>
          <w:color w:val="auto"/>
          <w:spacing w:val="141"/>
          <w:w w:val="79"/>
          <w:sz w:val="28"/>
        </w:rPr>
        <w:t>填表人</w:t>
      </w:r>
      <w:r>
        <w:rPr>
          <w:rFonts w:hint="default" w:ascii="Times New Roman" w:hAnsi="Times New Roman" w:eastAsia="仿宋_GB2312" w:cs="Times New Roman"/>
          <w:b/>
          <w:color w:val="auto"/>
          <w:spacing w:val="2"/>
          <w:w w:val="79"/>
          <w:sz w:val="28"/>
        </w:rPr>
        <w:t>：</w:t>
      </w:r>
    </w:p>
    <w:p>
      <w:pPr>
        <w:rPr>
          <w:rFonts w:hint="default" w:ascii="Times New Roman" w:hAnsi="Times New Roman" w:eastAsia="仿宋_GB2312" w:cs="Times New Roman"/>
          <w:color w:val="auto"/>
          <w:sz w:val="28"/>
        </w:rPr>
      </w:pPr>
    </w:p>
    <w:p>
      <w:pPr>
        <w:rPr>
          <w:rFonts w:hint="default" w:ascii="Times New Roman" w:hAnsi="Times New Roman" w:eastAsia="仿宋_GB2312" w:cs="Times New Roman"/>
          <w:color w:val="auto"/>
          <w:sz w:val="28"/>
        </w:rPr>
      </w:pPr>
    </w:p>
    <w:p>
      <w:pPr>
        <w:tabs>
          <w:tab w:val="left" w:pos="984"/>
        </w:tabs>
        <w:rPr>
          <w:rFonts w:hint="default" w:ascii="Times New Roman" w:hAnsi="Times New Roman" w:eastAsia="仿宋_GB2312" w:cs="Times New Roman"/>
          <w:color w:val="auto"/>
          <w:sz w:val="28"/>
        </w:rPr>
      </w:pPr>
    </w:p>
    <w:p>
      <w:pPr>
        <w:tabs>
          <w:tab w:val="left" w:pos="984"/>
        </w:tabs>
        <w:rPr>
          <w:rFonts w:hint="default" w:ascii="Times New Roman" w:hAnsi="Times New Roman" w:eastAsia="仿宋_GB2312" w:cs="Times New Roman"/>
          <w:color w:val="auto"/>
          <w:sz w:val="28"/>
        </w:rPr>
      </w:pPr>
    </w:p>
    <w:p>
      <w:pPr>
        <w:rPr>
          <w:rFonts w:hint="default" w:ascii="Times New Roman" w:hAnsi="Times New Roman" w:eastAsia="仿宋_GB2312" w:cs="Times New Roman"/>
          <w:color w:val="auto"/>
          <w:sz w:val="28"/>
        </w:rPr>
      </w:pPr>
    </w:p>
    <w:p>
      <w:pPr>
        <w:pStyle w:val="2"/>
        <w:spacing w:before="156" w:after="156"/>
        <w:rPr>
          <w:rFonts w:hint="default" w:ascii="Times New Roman" w:hAnsi="Times New Roman" w:eastAsia="仿宋_GB2312" w:cs="Times New Roman"/>
          <w:color w:val="auto"/>
        </w:rPr>
      </w:pPr>
    </w:p>
    <w:p>
      <w:pPr>
        <w:rPr>
          <w:rFonts w:hint="default" w:ascii="Times New Roman" w:hAnsi="Times New Roman" w:eastAsia="仿宋_GB2312" w:cs="Times New Roman"/>
          <w:color w:val="auto"/>
          <w:sz w:val="28"/>
        </w:rPr>
      </w:pPr>
    </w:p>
    <w:p>
      <w:pPr>
        <w:pStyle w:val="2"/>
        <w:spacing w:before="156" w:after="156"/>
        <w:rPr>
          <w:rFonts w:hint="default" w:ascii="Times New Roman" w:hAnsi="Times New Roman" w:eastAsia="仿宋_GB2312" w:cs="Times New Roman"/>
          <w:color w:val="auto"/>
        </w:rPr>
      </w:pPr>
    </w:p>
    <w:p>
      <w:pPr>
        <w:rPr>
          <w:rFonts w:hint="default" w:ascii="Times New Roman" w:hAnsi="Times New Roman" w:eastAsia="仿宋_GB2312" w:cs="Times New Roman"/>
          <w:color w:val="auto"/>
          <w:sz w:val="28"/>
        </w:rPr>
      </w:pPr>
    </w:p>
    <w:p>
      <w:pPr>
        <w:pStyle w:val="2"/>
        <w:spacing w:before="156" w:after="156"/>
        <w:rPr>
          <w:rFonts w:hint="default" w:ascii="Times New Roman" w:hAnsi="Times New Roman" w:cs="Times New Roman"/>
          <w:color w:val="auto"/>
        </w:rPr>
      </w:pPr>
    </w:p>
    <w:p>
      <w:pPr>
        <w:rPr>
          <w:rFonts w:hint="default" w:ascii="Times New Roman" w:hAnsi="Times New Roman" w:eastAsia="仿宋_GB2312" w:cs="Times New Roman"/>
          <w:color w:val="auto"/>
          <w:sz w:val="28"/>
        </w:rPr>
      </w:pPr>
    </w:p>
    <w:p>
      <w:pPr>
        <w:rPr>
          <w:rFonts w:hint="default" w:ascii="Times New Roman" w:hAnsi="Times New Roman" w:eastAsia="仿宋_GB2312" w:cs="Times New Roman"/>
          <w:color w:val="auto"/>
          <w:sz w:val="28"/>
        </w:rPr>
      </w:pPr>
    </w:p>
    <w:p>
      <w:pPr>
        <w:rPr>
          <w:rFonts w:hint="default" w:ascii="Times New Roman" w:hAnsi="Times New Roman" w:eastAsia="仿宋_GB2312" w:cs="Times New Roman"/>
          <w:color w:val="auto"/>
          <w:sz w:val="28"/>
        </w:rPr>
      </w:pPr>
    </w:p>
    <w:p>
      <w:pPr>
        <w:jc w:val="both"/>
        <w:rPr>
          <w:rFonts w:hint="default" w:ascii="Times New Roman" w:hAnsi="Times New Roman" w:eastAsia="仿宋_GB2312" w:cs="Times New Roman"/>
          <w:color w:val="auto"/>
          <w:sz w:val="28"/>
        </w:rPr>
      </w:pPr>
      <w:r>
        <w:rPr>
          <w:rFonts w:hint="default" w:ascii="Times New Roman" w:hAnsi="Times New Roman" w:eastAsia="仿宋_GB2312" w:cs="Times New Roman"/>
          <w:color w:val="auto"/>
          <w:sz w:val="28"/>
        </w:rPr>
        <w:t>建设单位       （盖章）         编制单位        （盖章）</w:t>
      </w:r>
    </w:p>
    <w:p>
      <w:pPr>
        <w:jc w:val="both"/>
        <w:rPr>
          <w:rFonts w:hint="default" w:ascii="Times New Roman" w:hAnsi="Times New Roman" w:eastAsia="仿宋_GB2312" w:cs="Times New Roman"/>
          <w:color w:val="auto"/>
          <w:sz w:val="28"/>
        </w:rPr>
      </w:pPr>
      <w:r>
        <w:rPr>
          <w:rFonts w:hint="default" w:ascii="Times New Roman" w:hAnsi="Times New Roman" w:eastAsia="仿宋_GB2312" w:cs="Times New Roman"/>
          <w:color w:val="auto"/>
          <w:sz w:val="28"/>
        </w:rPr>
        <w:t>电话：</w:t>
      </w:r>
      <w:r>
        <w:rPr>
          <w:rFonts w:hint="default" w:ascii="Times New Roman" w:hAnsi="Times New Roman" w:eastAsia="仿宋_GB2312" w:cs="Times New Roman"/>
          <w:color w:val="auto"/>
          <w:sz w:val="28"/>
          <w:lang w:val="en-US" w:eastAsia="zh-CN"/>
        </w:rPr>
        <w:t>17772982237</w:t>
      </w:r>
      <w:r>
        <w:rPr>
          <w:rFonts w:hint="default" w:ascii="Times New Roman" w:hAnsi="Times New Roman" w:eastAsia="仿宋_GB2312" w:cs="Times New Roman"/>
          <w:color w:val="auto"/>
          <w:sz w:val="28"/>
        </w:rPr>
        <w:t xml:space="preserve">               电话：</w:t>
      </w:r>
      <w:r>
        <w:rPr>
          <w:rFonts w:hint="default" w:ascii="Times New Roman" w:hAnsi="Times New Roman" w:eastAsia="仿宋_GB2312" w:cs="Times New Roman"/>
          <w:color w:val="auto"/>
          <w:sz w:val="28"/>
          <w:lang w:val="en-US" w:eastAsia="zh-CN"/>
        </w:rPr>
        <w:t>029-88813886</w:t>
      </w:r>
      <w:r>
        <w:rPr>
          <w:rFonts w:hint="default" w:ascii="Times New Roman" w:hAnsi="Times New Roman" w:eastAsia="仿宋_GB2312" w:cs="Times New Roman"/>
          <w:color w:val="auto"/>
          <w:sz w:val="28"/>
        </w:rPr>
        <w:t xml:space="preserve">   </w:t>
      </w:r>
    </w:p>
    <w:p>
      <w:pPr>
        <w:jc w:val="both"/>
        <w:rPr>
          <w:rFonts w:hint="default" w:ascii="Times New Roman" w:hAnsi="Times New Roman" w:eastAsia="仿宋_GB2312" w:cs="Times New Roman"/>
          <w:color w:val="auto"/>
          <w:sz w:val="28"/>
        </w:rPr>
      </w:pPr>
      <w:r>
        <w:rPr>
          <w:rFonts w:hint="default" w:ascii="Times New Roman" w:hAnsi="Times New Roman" w:eastAsia="仿宋_GB2312" w:cs="Times New Roman"/>
          <w:color w:val="auto"/>
          <w:sz w:val="28"/>
        </w:rPr>
        <w:t>传真：</w:t>
      </w:r>
      <w:r>
        <w:rPr>
          <w:rFonts w:hint="default" w:ascii="Times New Roman" w:hAnsi="Times New Roman" w:eastAsia="仿宋" w:cs="Times New Roman"/>
          <w:color w:val="auto"/>
          <w:sz w:val="28"/>
          <w:szCs w:val="28"/>
        </w:rPr>
        <w:t>/</w:t>
      </w:r>
      <w:r>
        <w:rPr>
          <w:rFonts w:hint="default" w:ascii="Times New Roman" w:hAnsi="Times New Roman" w:eastAsia="仿宋_GB2312" w:cs="Times New Roman"/>
          <w:color w:val="auto"/>
          <w:sz w:val="28"/>
        </w:rPr>
        <w:t xml:space="preserve">                         传真：</w:t>
      </w:r>
      <w:r>
        <w:rPr>
          <w:rFonts w:hint="default" w:ascii="Times New Roman" w:hAnsi="Times New Roman" w:eastAsia="仿宋" w:cs="Times New Roman"/>
          <w:color w:val="auto"/>
          <w:sz w:val="28"/>
          <w:szCs w:val="28"/>
        </w:rPr>
        <w:t>/</w:t>
      </w:r>
    </w:p>
    <w:p>
      <w:pPr>
        <w:jc w:val="both"/>
        <w:rPr>
          <w:rFonts w:hint="default" w:ascii="Times New Roman" w:hAnsi="Times New Roman" w:eastAsia="仿宋_GB2312" w:cs="Times New Roman"/>
          <w:color w:val="auto"/>
          <w:sz w:val="28"/>
        </w:rPr>
      </w:pPr>
      <w:r>
        <w:rPr>
          <w:rFonts w:hint="default" w:ascii="Times New Roman" w:hAnsi="Times New Roman" w:eastAsia="仿宋_GB2312" w:cs="Times New Roman"/>
          <w:color w:val="auto"/>
          <w:sz w:val="28"/>
        </w:rPr>
        <w:t xml:space="preserve">邮编：715403                    邮编：710086  </w:t>
      </w:r>
    </w:p>
    <w:p>
      <w:pPr>
        <w:jc w:val="both"/>
        <w:rPr>
          <w:rFonts w:hint="default" w:ascii="Times New Roman" w:hAnsi="Times New Roman" w:eastAsia="仿宋_GB2312" w:cs="Times New Roman"/>
          <w:color w:val="auto"/>
          <w:sz w:val="28"/>
          <w:lang w:eastAsia="zh-CN"/>
        </w:rPr>
      </w:pPr>
      <w:r>
        <w:rPr>
          <w:rFonts w:hint="default" w:ascii="Times New Roman" w:hAnsi="Times New Roman" w:eastAsia="仿宋_GB2312" w:cs="Times New Roman"/>
          <w:color w:val="auto"/>
          <w:sz w:val="28"/>
        </w:rPr>
        <w:t>地址：陕西省</w:t>
      </w:r>
      <w:r>
        <w:rPr>
          <w:rFonts w:hint="default" w:ascii="Times New Roman" w:hAnsi="Times New Roman" w:eastAsia="仿宋_GB2312" w:cs="Times New Roman"/>
          <w:color w:val="auto"/>
          <w:sz w:val="28"/>
          <w:lang w:eastAsia="zh-CN"/>
        </w:rPr>
        <w:t>西咸新区秦汉新城</w:t>
      </w:r>
      <w:r>
        <w:rPr>
          <w:rFonts w:hint="default" w:ascii="Times New Roman" w:hAnsi="Times New Roman" w:eastAsia="仿宋_GB2312" w:cs="Times New Roman"/>
          <w:color w:val="auto"/>
          <w:sz w:val="28"/>
          <w:lang w:val="en-US" w:eastAsia="zh-CN"/>
        </w:rPr>
        <w:t xml:space="preserve">    </w:t>
      </w:r>
      <w:r>
        <w:rPr>
          <w:rFonts w:hint="default" w:ascii="Times New Roman" w:hAnsi="Times New Roman" w:eastAsia="仿宋_GB2312" w:cs="Times New Roman"/>
          <w:color w:val="auto"/>
          <w:sz w:val="28"/>
        </w:rPr>
        <w:t>地址：陕西省</w:t>
      </w:r>
      <w:r>
        <w:rPr>
          <w:rFonts w:hint="default" w:ascii="Times New Roman" w:hAnsi="Times New Roman" w:eastAsia="仿宋_GB2312" w:cs="Times New Roman"/>
          <w:color w:val="auto"/>
          <w:sz w:val="28"/>
          <w:lang w:eastAsia="zh-CN"/>
        </w:rPr>
        <w:t>西安市未央区三桥</w:t>
      </w:r>
    </w:p>
    <w:p>
      <w:pPr>
        <w:ind w:firstLine="840" w:firstLineChars="300"/>
        <w:jc w:val="both"/>
        <w:rPr>
          <w:rFonts w:hint="default" w:ascii="Times New Roman" w:hAnsi="Times New Roman" w:eastAsia="仿宋_GB2312" w:cs="Times New Roman"/>
          <w:color w:val="auto"/>
          <w:sz w:val="28"/>
          <w:lang w:val="en-US"/>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仿宋_GB2312" w:cs="Times New Roman"/>
          <w:color w:val="auto"/>
          <w:sz w:val="28"/>
          <w:lang w:eastAsia="zh-CN"/>
        </w:rPr>
        <w:t>正阳街道办张家湾村</w:t>
      </w:r>
      <w:r>
        <w:rPr>
          <w:rFonts w:hint="default" w:ascii="Times New Roman" w:hAnsi="Times New Roman" w:eastAsia="仿宋_GB2312" w:cs="Times New Roman"/>
          <w:color w:val="auto"/>
          <w:sz w:val="28"/>
        </w:rPr>
        <w:t xml:space="preserve">             </w:t>
      </w:r>
      <w:r>
        <w:rPr>
          <w:rFonts w:hint="default" w:ascii="Times New Roman" w:hAnsi="Times New Roman" w:eastAsia="仿宋_GB2312" w:cs="Times New Roman"/>
          <w:color w:val="auto"/>
          <w:sz w:val="28"/>
          <w:lang w:eastAsia="zh-CN"/>
        </w:rPr>
        <w:t>街道启航时代广场</w:t>
      </w:r>
      <w:r>
        <w:rPr>
          <w:rFonts w:hint="default" w:ascii="Times New Roman" w:hAnsi="Times New Roman" w:eastAsia="仿宋_GB2312" w:cs="Times New Roman"/>
          <w:color w:val="auto"/>
          <w:sz w:val="28"/>
          <w:lang w:val="en-US" w:eastAsia="zh-CN"/>
        </w:rPr>
        <w:t>D座</w:t>
      </w:r>
    </w:p>
    <w:p>
      <w:pPr>
        <w:jc w:val="both"/>
        <w:rPr>
          <w:rFonts w:hint="default" w:ascii="Times New Roman" w:hAnsi="Times New Roman" w:eastAsia="仿宋_GB2312" w:cs="Times New Roman"/>
          <w:color w:val="auto"/>
          <w:sz w:val="28"/>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仿宋_GB2312" w:cs="Times New Roman"/>
          <w:color w:val="auto"/>
          <w:sz w:val="28"/>
        </w:rPr>
        <w:t xml:space="preserve">       </w:t>
      </w:r>
    </w:p>
    <w:p>
      <w:pPr>
        <w:rPr>
          <w:rFonts w:hint="default" w:ascii="Times New Roman" w:hAnsi="Times New Roman" w:eastAsia="仿宋_GB2312" w:cs="Times New Roman"/>
          <w:b/>
          <w:color w:val="auto"/>
          <w:sz w:val="28"/>
          <w:szCs w:val="28"/>
        </w:rPr>
      </w:pPr>
      <w:r>
        <w:rPr>
          <w:rFonts w:hint="default" w:ascii="Times New Roman" w:hAnsi="Times New Roman" w:eastAsia="仿宋_GB2312" w:cs="Times New Roman"/>
          <w:b/>
          <w:color w:val="auto"/>
          <w:sz w:val="28"/>
          <w:szCs w:val="28"/>
        </w:rPr>
        <w:t>表一</w:t>
      </w:r>
    </w:p>
    <w:tbl>
      <w:tblPr>
        <w:tblStyle w:val="17"/>
        <w:tblW w:w="892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870"/>
        <w:gridCol w:w="1919"/>
        <w:gridCol w:w="1783"/>
        <w:gridCol w:w="1325"/>
        <w:gridCol w:w="775"/>
        <w:gridCol w:w="9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2161" w:type="dxa"/>
            <w:gridSpan w:val="2"/>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建设项目名称</w:t>
            </w:r>
          </w:p>
        </w:tc>
        <w:tc>
          <w:tcPr>
            <w:tcW w:w="6763" w:type="dxa"/>
            <w:gridSpan w:val="5"/>
            <w:vAlign w:val="center"/>
          </w:tcPr>
          <w:p>
            <w:pPr>
              <w:spacing w:line="240" w:lineRule="auto"/>
              <w:jc w:val="both"/>
              <w:rPr>
                <w:rFonts w:hint="default" w:ascii="Times New Roman" w:hAnsi="Times New Roman" w:cs="Times New Roman"/>
                <w:bCs/>
                <w:color w:val="auto"/>
              </w:rPr>
            </w:pPr>
            <w:r>
              <w:rPr>
                <w:rFonts w:hint="default" w:ascii="Times New Roman" w:hAnsi="Times New Roman" w:cs="Times New Roman"/>
                <w:bCs/>
                <w:color w:val="auto"/>
                <w:lang w:val="en-US" w:eastAsia="zh-CN"/>
              </w:rPr>
              <w:t>年产经营30万立方米预拌混凝土项目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2161" w:type="dxa"/>
            <w:gridSpan w:val="2"/>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建设单位名称</w:t>
            </w:r>
          </w:p>
        </w:tc>
        <w:tc>
          <w:tcPr>
            <w:tcW w:w="6763" w:type="dxa"/>
            <w:gridSpan w:val="5"/>
            <w:vAlign w:val="center"/>
          </w:tcPr>
          <w:p>
            <w:pPr>
              <w:spacing w:line="240" w:lineRule="auto"/>
              <w:jc w:val="both"/>
              <w:rPr>
                <w:rFonts w:hint="default" w:ascii="Times New Roman" w:hAnsi="Times New Roman" w:cs="Times New Roman"/>
                <w:bCs/>
                <w:color w:val="auto"/>
              </w:rPr>
            </w:pPr>
            <w:r>
              <w:rPr>
                <w:rFonts w:hint="default" w:ascii="Times New Roman" w:hAnsi="Times New Roman" w:cs="Times New Roman"/>
                <w:bCs/>
                <w:color w:val="auto"/>
                <w:lang w:val="en-US" w:eastAsia="zh-CN"/>
              </w:rPr>
              <w:t>陕西勇轩建材有限公司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2161" w:type="dxa"/>
            <w:gridSpan w:val="2"/>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建设项目性质</w:t>
            </w:r>
          </w:p>
        </w:tc>
        <w:tc>
          <w:tcPr>
            <w:tcW w:w="6763" w:type="dxa"/>
            <w:gridSpan w:val="5"/>
            <w:vAlign w:val="center"/>
          </w:tcPr>
          <w:p>
            <w:pPr>
              <w:spacing w:line="240" w:lineRule="auto"/>
              <w:jc w:val="both"/>
              <w:rPr>
                <w:rFonts w:hint="default" w:ascii="Times New Roman" w:hAnsi="Times New Roman" w:cs="Times New Roman"/>
                <w:color w:val="auto"/>
                <w:szCs w:val="24"/>
              </w:rPr>
            </w:pPr>
            <w:r>
              <w:rPr>
                <w:rFonts w:hint="default" w:ascii="Times New Roman" w:hAnsi="Times New Roman" w:cs="Times New Roman"/>
                <w:color w:val="auto"/>
                <w:szCs w:val="24"/>
              </w:rPr>
              <w:t>新建</w:t>
            </w: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EQ \o\ac(</w:instrText>
            </w:r>
            <w:r>
              <w:rPr>
                <w:rFonts w:hint="default" w:ascii="Times New Roman" w:hAnsi="Times New Roman" w:cs="Times New Roman"/>
                <w:color w:val="auto"/>
                <w:position w:val="-4"/>
                <w:sz w:val="36"/>
                <w:szCs w:val="24"/>
              </w:rPr>
              <w:instrText xml:space="preserve">□</w:instrText>
            </w:r>
            <w:r>
              <w:rPr>
                <w:rFonts w:hint="default" w:ascii="Times New Roman" w:hAnsi="Times New Roman" w:cs="Times New Roman"/>
                <w:color w:val="auto"/>
                <w:szCs w:val="24"/>
              </w:rPr>
              <w:instrText xml:space="preserve">,√)</w:instrText>
            </w:r>
            <w:r>
              <w:rPr>
                <w:rFonts w:hint="default" w:ascii="Times New Roman" w:hAnsi="Times New Roman" w:cs="Times New Roman"/>
                <w:color w:val="auto"/>
                <w:szCs w:val="24"/>
              </w:rPr>
              <w:fldChar w:fldCharType="end"/>
            </w:r>
            <w:r>
              <w:rPr>
                <w:rFonts w:hint="default" w:ascii="Times New Roman" w:hAnsi="Times New Roman" w:cs="Times New Roman"/>
                <w:color w:val="auto"/>
                <w:szCs w:val="24"/>
              </w:rPr>
              <w:t xml:space="preserve">  改扩建</w:t>
            </w: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EQ \o\ac(</w:instrText>
            </w:r>
            <w:r>
              <w:rPr>
                <w:rFonts w:hint="default" w:ascii="Times New Roman" w:hAnsi="Times New Roman" w:cs="Times New Roman"/>
                <w:color w:val="auto"/>
                <w:position w:val="-4"/>
                <w:sz w:val="36"/>
                <w:szCs w:val="24"/>
              </w:rPr>
              <w:instrText xml:space="preserve">□</w:instrText>
            </w:r>
            <w:r>
              <w:rPr>
                <w:rFonts w:hint="default" w:ascii="Times New Roman" w:hAnsi="Times New Roman" w:cs="Times New Roman"/>
                <w:color w:val="auto"/>
                <w:szCs w:val="24"/>
              </w:rPr>
              <w:instrText xml:space="preserve">,  )</w:instrText>
            </w:r>
            <w:r>
              <w:rPr>
                <w:rFonts w:hint="default" w:ascii="Times New Roman" w:hAnsi="Times New Roman" w:cs="Times New Roman"/>
                <w:color w:val="auto"/>
                <w:szCs w:val="24"/>
              </w:rPr>
              <w:fldChar w:fldCharType="end"/>
            </w:r>
            <w:r>
              <w:rPr>
                <w:rFonts w:hint="default" w:ascii="Times New Roman" w:hAnsi="Times New Roman" w:cs="Times New Roman"/>
                <w:color w:val="auto"/>
                <w:szCs w:val="24"/>
              </w:rPr>
              <w:t xml:space="preserve">  技改</w:t>
            </w: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EQ \o\ac(</w:instrText>
            </w:r>
            <w:r>
              <w:rPr>
                <w:rFonts w:hint="default" w:ascii="Times New Roman" w:hAnsi="Times New Roman" w:cs="Times New Roman"/>
                <w:color w:val="auto"/>
                <w:position w:val="-4"/>
                <w:sz w:val="36"/>
                <w:szCs w:val="24"/>
              </w:rPr>
              <w:instrText xml:space="preserve">□</w:instrText>
            </w:r>
            <w:r>
              <w:rPr>
                <w:rFonts w:hint="default" w:ascii="Times New Roman" w:hAnsi="Times New Roman" w:cs="Times New Roman"/>
                <w:color w:val="auto"/>
                <w:szCs w:val="24"/>
              </w:rPr>
              <w:instrText xml:space="preserve">, )</w:instrText>
            </w:r>
            <w:r>
              <w:rPr>
                <w:rFonts w:hint="default" w:ascii="Times New Roman" w:hAnsi="Times New Roman" w:cs="Times New Roman"/>
                <w:color w:val="auto"/>
                <w:szCs w:val="24"/>
              </w:rPr>
              <w:fldChar w:fldCharType="end"/>
            </w:r>
            <w:r>
              <w:rPr>
                <w:rFonts w:hint="default" w:ascii="Times New Roman" w:hAnsi="Times New Roman" w:cs="Times New Roman"/>
                <w:color w:val="auto"/>
                <w:szCs w:val="24"/>
              </w:rPr>
              <w:t xml:space="preserve">  迁建</w:t>
            </w: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EQ \o\ac(</w:instrText>
            </w:r>
            <w:r>
              <w:rPr>
                <w:rFonts w:hint="default" w:ascii="Times New Roman" w:hAnsi="Times New Roman" w:cs="Times New Roman"/>
                <w:color w:val="auto"/>
                <w:position w:val="-4"/>
                <w:sz w:val="36"/>
                <w:szCs w:val="24"/>
              </w:rPr>
              <w:instrText xml:space="preserve">□</w:instrText>
            </w:r>
            <w:r>
              <w:rPr>
                <w:rFonts w:hint="default" w:ascii="Times New Roman" w:hAnsi="Times New Roman" w:cs="Times New Roman"/>
                <w:color w:val="auto"/>
                <w:szCs w:val="24"/>
              </w:rPr>
              <w:instrText xml:space="preserve">, )</w:instrText>
            </w:r>
            <w:r>
              <w:rPr>
                <w:rFonts w:hint="default" w:ascii="Times New Roman" w:hAnsi="Times New Roman" w:cs="Times New Roman"/>
                <w:color w:val="auto"/>
                <w:szCs w:val="24"/>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2161" w:type="dxa"/>
            <w:gridSpan w:val="2"/>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建设地点</w:t>
            </w:r>
          </w:p>
        </w:tc>
        <w:tc>
          <w:tcPr>
            <w:tcW w:w="6763" w:type="dxa"/>
            <w:gridSpan w:val="5"/>
            <w:vAlign w:val="center"/>
          </w:tcPr>
          <w:p>
            <w:pPr>
              <w:spacing w:line="240" w:lineRule="auto"/>
              <w:jc w:val="both"/>
              <w:rPr>
                <w:rFonts w:hint="default" w:ascii="Times New Roman" w:hAnsi="Times New Roman" w:cs="Times New Roman"/>
                <w:color w:val="auto"/>
                <w:szCs w:val="24"/>
              </w:rPr>
            </w:pPr>
            <w:r>
              <w:rPr>
                <w:rFonts w:hint="default" w:ascii="Times New Roman" w:hAnsi="Times New Roman" w:cs="Times New Roman"/>
                <w:color w:val="auto"/>
                <w:szCs w:val="24"/>
              </w:rPr>
              <w:t>陕西省</w:t>
            </w:r>
            <w:r>
              <w:rPr>
                <w:rFonts w:hint="default" w:ascii="Times New Roman" w:hAnsi="Times New Roman" w:cs="Times New Roman"/>
                <w:color w:val="auto"/>
                <w:szCs w:val="24"/>
                <w:lang w:eastAsia="zh-CN"/>
              </w:rPr>
              <w:t>西咸新区秦汉新城正阳街道办张家湾村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2161" w:type="dxa"/>
            <w:gridSpan w:val="2"/>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主要产品名称</w:t>
            </w:r>
          </w:p>
        </w:tc>
        <w:tc>
          <w:tcPr>
            <w:tcW w:w="6763" w:type="dxa"/>
            <w:gridSpan w:val="5"/>
            <w:vAlign w:val="center"/>
          </w:tcPr>
          <w:p>
            <w:pPr>
              <w:spacing w:line="240" w:lineRule="auto"/>
              <w:jc w:val="both"/>
              <w:rPr>
                <w:rFonts w:hint="default" w:ascii="Times New Roman" w:hAnsi="Times New Roman" w:eastAsia="宋体" w:cs="Times New Roman"/>
                <w:color w:val="auto"/>
                <w:szCs w:val="24"/>
                <w:lang w:eastAsia="zh-CN"/>
              </w:rPr>
            </w:pPr>
            <w:r>
              <w:rPr>
                <w:rFonts w:hint="default" w:ascii="Times New Roman" w:hAnsi="Times New Roman" w:cs="Times New Roman"/>
                <w:color w:val="auto"/>
                <w:szCs w:val="24"/>
                <w:lang w:eastAsia="zh-CN"/>
              </w:rPr>
              <w:t>混凝土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2161" w:type="dxa"/>
            <w:gridSpan w:val="2"/>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设计生产能力</w:t>
            </w:r>
          </w:p>
        </w:tc>
        <w:tc>
          <w:tcPr>
            <w:tcW w:w="6763" w:type="dxa"/>
            <w:gridSpan w:val="5"/>
            <w:vAlign w:val="center"/>
          </w:tcPr>
          <w:p>
            <w:pPr>
              <w:spacing w:line="240" w:lineRule="auto"/>
              <w:jc w:val="both"/>
              <w:rPr>
                <w:rFonts w:hint="default" w:ascii="Times New Roman" w:hAnsi="Times New Roman" w:eastAsia="宋体" w:cs="Times New Roman"/>
                <w:color w:val="auto"/>
                <w:szCs w:val="24"/>
                <w:lang w:eastAsia="zh-CN"/>
              </w:rPr>
            </w:pPr>
            <w:r>
              <w:rPr>
                <w:rFonts w:hint="default" w:ascii="Times New Roman" w:hAnsi="Times New Roman" w:cs="Times New Roman"/>
                <w:color w:val="auto"/>
              </w:rPr>
              <w:t>年产</w:t>
            </w:r>
            <w:r>
              <w:rPr>
                <w:rFonts w:hint="default" w:ascii="Times New Roman" w:hAnsi="Times New Roman" w:cs="Times New Roman"/>
                <w:color w:val="auto"/>
                <w:lang w:val="en-US" w:eastAsia="zh-CN"/>
              </w:rPr>
              <w:t>30</w:t>
            </w:r>
            <w:r>
              <w:rPr>
                <w:rFonts w:hint="default" w:ascii="Times New Roman" w:hAnsi="Times New Roman" w:cs="Times New Roman"/>
                <w:color w:val="auto"/>
              </w:rPr>
              <w:t>万</w:t>
            </w:r>
            <w:r>
              <w:rPr>
                <w:rFonts w:hint="default" w:ascii="Times New Roman" w:hAnsi="Times New Roman" w:cs="Times New Roman"/>
                <w:color w:val="auto"/>
                <w:lang w:eastAsia="zh-CN"/>
              </w:rPr>
              <w:t>立方米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2161" w:type="dxa"/>
            <w:gridSpan w:val="2"/>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实际生产能力</w:t>
            </w:r>
          </w:p>
        </w:tc>
        <w:tc>
          <w:tcPr>
            <w:tcW w:w="6763" w:type="dxa"/>
            <w:gridSpan w:val="5"/>
            <w:vAlign w:val="center"/>
          </w:tcPr>
          <w:p>
            <w:pPr>
              <w:spacing w:line="240" w:lineRule="auto"/>
              <w:jc w:val="both"/>
              <w:rPr>
                <w:rFonts w:hint="default" w:ascii="Times New Roman" w:hAnsi="Times New Roman" w:cs="Times New Roman"/>
                <w:color w:val="auto"/>
                <w:szCs w:val="24"/>
              </w:rPr>
            </w:pPr>
            <w:r>
              <w:rPr>
                <w:rFonts w:hint="default" w:ascii="Times New Roman" w:hAnsi="Times New Roman" w:cs="Times New Roman"/>
                <w:color w:val="auto"/>
              </w:rPr>
              <w:t>年产</w:t>
            </w:r>
            <w:r>
              <w:rPr>
                <w:rFonts w:hint="default" w:ascii="Times New Roman" w:hAnsi="Times New Roman" w:cs="Times New Roman"/>
                <w:color w:val="auto"/>
                <w:lang w:val="en-US" w:eastAsia="zh-CN"/>
              </w:rPr>
              <w:t>30</w:t>
            </w:r>
            <w:r>
              <w:rPr>
                <w:rFonts w:hint="default" w:ascii="Times New Roman" w:hAnsi="Times New Roman" w:cs="Times New Roman"/>
                <w:color w:val="auto"/>
              </w:rPr>
              <w:t>万</w:t>
            </w:r>
            <w:r>
              <w:rPr>
                <w:rFonts w:hint="default" w:ascii="Times New Roman" w:hAnsi="Times New Roman" w:cs="Times New Roman"/>
                <w:color w:val="auto"/>
                <w:lang w:eastAsia="zh-CN"/>
              </w:rPr>
              <w:t>立方米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2161" w:type="dxa"/>
            <w:gridSpan w:val="2"/>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建设项目环评时间</w:t>
            </w:r>
          </w:p>
        </w:tc>
        <w:tc>
          <w:tcPr>
            <w:tcW w:w="1919" w:type="dxa"/>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201</w:t>
            </w:r>
            <w:r>
              <w:rPr>
                <w:rFonts w:hint="default" w:ascii="Times New Roman" w:hAnsi="Times New Roman" w:cs="Times New Roman"/>
                <w:color w:val="auto"/>
                <w:szCs w:val="24"/>
                <w:lang w:val="en-US" w:eastAsia="zh-CN"/>
              </w:rPr>
              <w:t>5</w:t>
            </w:r>
            <w:r>
              <w:rPr>
                <w:rFonts w:hint="default" w:ascii="Times New Roman" w:hAnsi="Times New Roman" w:cs="Times New Roman"/>
                <w:color w:val="auto"/>
                <w:szCs w:val="24"/>
              </w:rPr>
              <w:t>年</w:t>
            </w:r>
            <w:r>
              <w:rPr>
                <w:rFonts w:hint="default" w:ascii="Times New Roman" w:hAnsi="Times New Roman" w:cs="Times New Roman"/>
                <w:color w:val="auto"/>
                <w:szCs w:val="24"/>
                <w:lang w:val="en-US" w:eastAsia="zh-CN"/>
              </w:rPr>
              <w:t>9</w:t>
            </w:r>
            <w:r>
              <w:rPr>
                <w:rFonts w:hint="default" w:ascii="Times New Roman" w:hAnsi="Times New Roman" w:cs="Times New Roman"/>
                <w:color w:val="auto"/>
                <w:szCs w:val="24"/>
              </w:rPr>
              <w:t>月</w:t>
            </w:r>
          </w:p>
        </w:tc>
        <w:tc>
          <w:tcPr>
            <w:tcW w:w="1783" w:type="dxa"/>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开工建设时间</w:t>
            </w:r>
          </w:p>
        </w:tc>
        <w:tc>
          <w:tcPr>
            <w:tcW w:w="3061" w:type="dxa"/>
            <w:gridSpan w:val="3"/>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201</w:t>
            </w:r>
            <w:r>
              <w:rPr>
                <w:rFonts w:hint="default" w:ascii="Times New Roman" w:hAnsi="Times New Roman" w:cs="Times New Roman"/>
                <w:color w:val="auto"/>
                <w:szCs w:val="24"/>
                <w:lang w:val="en-US" w:eastAsia="zh-CN"/>
              </w:rPr>
              <w:t>5</w:t>
            </w:r>
            <w:r>
              <w:rPr>
                <w:rFonts w:hint="default" w:ascii="Times New Roman" w:hAnsi="Times New Roman" w:cs="Times New Roman"/>
                <w:color w:val="auto"/>
                <w:szCs w:val="24"/>
              </w:rPr>
              <w:t>年</w:t>
            </w:r>
            <w:r>
              <w:rPr>
                <w:rFonts w:hint="default" w:ascii="Times New Roman" w:hAnsi="Times New Roman" w:cs="Times New Roman"/>
                <w:color w:val="auto"/>
                <w:szCs w:val="24"/>
                <w:lang w:val="en-US" w:eastAsia="zh-CN"/>
              </w:rPr>
              <w:t>12</w:t>
            </w:r>
            <w:r>
              <w:rPr>
                <w:rFonts w:hint="default" w:ascii="Times New Roman" w:hAnsi="Times New Roman" w:cs="Times New Roman"/>
                <w:color w:val="auto"/>
                <w:szCs w:val="24"/>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2161" w:type="dxa"/>
            <w:gridSpan w:val="2"/>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调试时间</w:t>
            </w:r>
          </w:p>
        </w:tc>
        <w:tc>
          <w:tcPr>
            <w:tcW w:w="1919" w:type="dxa"/>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201</w:t>
            </w:r>
            <w:r>
              <w:rPr>
                <w:rFonts w:hint="default" w:ascii="Times New Roman" w:hAnsi="Times New Roman" w:cs="Times New Roman"/>
                <w:color w:val="auto"/>
                <w:szCs w:val="24"/>
                <w:lang w:val="en-US" w:eastAsia="zh-CN"/>
              </w:rPr>
              <w:t>9</w:t>
            </w:r>
            <w:r>
              <w:rPr>
                <w:rFonts w:hint="default" w:ascii="Times New Roman" w:hAnsi="Times New Roman" w:cs="Times New Roman"/>
                <w:color w:val="auto"/>
                <w:szCs w:val="24"/>
              </w:rPr>
              <w:t>年</w:t>
            </w:r>
            <w:r>
              <w:rPr>
                <w:rFonts w:hint="default" w:ascii="Times New Roman" w:hAnsi="Times New Roman" w:cs="Times New Roman"/>
                <w:color w:val="auto"/>
                <w:szCs w:val="24"/>
                <w:lang w:val="en-US" w:eastAsia="zh-CN"/>
              </w:rPr>
              <w:t>4</w:t>
            </w:r>
            <w:r>
              <w:rPr>
                <w:rFonts w:hint="default" w:ascii="Times New Roman" w:hAnsi="Times New Roman" w:cs="Times New Roman"/>
                <w:color w:val="auto"/>
                <w:szCs w:val="24"/>
              </w:rPr>
              <w:t>月</w:t>
            </w:r>
          </w:p>
        </w:tc>
        <w:tc>
          <w:tcPr>
            <w:tcW w:w="1783" w:type="dxa"/>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验收现场</w:t>
            </w:r>
          </w:p>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监测时间</w:t>
            </w:r>
          </w:p>
        </w:tc>
        <w:tc>
          <w:tcPr>
            <w:tcW w:w="3061" w:type="dxa"/>
            <w:gridSpan w:val="3"/>
            <w:vAlign w:val="center"/>
          </w:tcPr>
          <w:p>
            <w:pPr>
              <w:spacing w:line="240" w:lineRule="auto"/>
              <w:jc w:val="center"/>
              <w:rPr>
                <w:rFonts w:hint="default" w:ascii="Times New Roman" w:hAnsi="Times New Roman" w:eastAsia="宋体" w:cs="Times New Roman"/>
                <w:color w:val="auto"/>
                <w:szCs w:val="24"/>
                <w:lang w:eastAsia="zh-CN"/>
              </w:rPr>
            </w:pPr>
            <w:r>
              <w:rPr>
                <w:rFonts w:hint="default" w:ascii="Times New Roman" w:hAnsi="Times New Roman" w:cs="Times New Roman"/>
                <w:color w:val="auto"/>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2161" w:type="dxa"/>
            <w:gridSpan w:val="2"/>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环评报告表</w:t>
            </w:r>
          </w:p>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审批部门</w:t>
            </w:r>
          </w:p>
        </w:tc>
        <w:tc>
          <w:tcPr>
            <w:tcW w:w="1919" w:type="dxa"/>
            <w:vAlign w:val="center"/>
          </w:tcPr>
          <w:p>
            <w:pPr>
              <w:spacing w:line="240" w:lineRule="auto"/>
              <w:jc w:val="center"/>
              <w:rPr>
                <w:rFonts w:hint="default" w:ascii="Times New Roman" w:hAnsi="Times New Roman" w:eastAsia="宋体" w:cs="Times New Roman"/>
                <w:color w:val="auto"/>
                <w:szCs w:val="24"/>
                <w:lang w:eastAsia="zh-CN"/>
              </w:rPr>
            </w:pPr>
            <w:r>
              <w:rPr>
                <w:rFonts w:hint="default" w:ascii="Times New Roman" w:hAnsi="Times New Roman" w:cs="Times New Roman"/>
                <w:color w:val="auto"/>
                <w:szCs w:val="24"/>
                <w:lang w:eastAsia="zh-CN"/>
              </w:rPr>
              <w:t>西咸新区秦汉新城规划建设环保和房屋管理局</w:t>
            </w:r>
          </w:p>
        </w:tc>
        <w:tc>
          <w:tcPr>
            <w:tcW w:w="1783" w:type="dxa"/>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环评报告表</w:t>
            </w:r>
          </w:p>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编制单位</w:t>
            </w:r>
          </w:p>
        </w:tc>
        <w:tc>
          <w:tcPr>
            <w:tcW w:w="306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200"/>
              <w:jc w:val="left"/>
              <w:textAlignment w:val="auto"/>
              <w:rPr>
                <w:rFonts w:hint="default" w:ascii="Times New Roman" w:hAnsi="Times New Roman" w:cs="Times New Roman"/>
                <w:color w:val="auto"/>
                <w:szCs w:val="24"/>
              </w:rPr>
            </w:pPr>
            <w:r>
              <w:rPr>
                <w:rFonts w:hint="default" w:ascii="Times New Roman" w:hAnsi="Times New Roman" w:cs="Times New Roman"/>
                <w:color w:val="auto"/>
                <w:szCs w:val="24"/>
                <w:lang w:eastAsia="zh-CN"/>
              </w:rPr>
              <w:t>核工业二〇三研究所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2161" w:type="dxa"/>
            <w:gridSpan w:val="2"/>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环保设施设计单位</w:t>
            </w:r>
          </w:p>
        </w:tc>
        <w:tc>
          <w:tcPr>
            <w:tcW w:w="1919" w:type="dxa"/>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w:t>
            </w:r>
          </w:p>
        </w:tc>
        <w:tc>
          <w:tcPr>
            <w:tcW w:w="1783" w:type="dxa"/>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环保设施施工</w:t>
            </w:r>
          </w:p>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单位</w:t>
            </w:r>
          </w:p>
        </w:tc>
        <w:tc>
          <w:tcPr>
            <w:tcW w:w="3061" w:type="dxa"/>
            <w:gridSpan w:val="3"/>
            <w:vAlign w:val="center"/>
          </w:tcPr>
          <w:p>
            <w:pPr>
              <w:spacing w:line="240" w:lineRule="auto"/>
              <w:jc w:val="center"/>
              <w:rPr>
                <w:rFonts w:hint="default" w:ascii="Times New Roman" w:hAnsi="Times New Roman" w:eastAsia="宋体" w:cs="Times New Roman"/>
                <w:color w:val="auto"/>
                <w:szCs w:val="24"/>
                <w:lang w:eastAsia="zh-CN"/>
              </w:rPr>
            </w:pPr>
            <w:r>
              <w:rPr>
                <w:rFonts w:hint="default" w:ascii="Times New Roman" w:hAnsi="Times New Roman" w:cs="Times New Roman"/>
                <w:color w:val="auto"/>
                <w:szCs w:val="24"/>
                <w:lang w:eastAsia="zh-CN"/>
              </w:rPr>
              <w:t>陕西中路西建环保设备有限公司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2161" w:type="dxa"/>
            <w:gridSpan w:val="2"/>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投资总概算</w:t>
            </w:r>
          </w:p>
        </w:tc>
        <w:tc>
          <w:tcPr>
            <w:tcW w:w="1919" w:type="dxa"/>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lang w:val="en-US" w:eastAsia="zh-CN"/>
              </w:rPr>
              <w:t>1000</w:t>
            </w:r>
            <w:r>
              <w:rPr>
                <w:rFonts w:hint="default" w:ascii="Times New Roman" w:hAnsi="Times New Roman" w:cs="Times New Roman"/>
                <w:color w:val="auto"/>
                <w:szCs w:val="24"/>
              </w:rPr>
              <w:t>万元</w:t>
            </w:r>
          </w:p>
        </w:tc>
        <w:tc>
          <w:tcPr>
            <w:tcW w:w="1783" w:type="dxa"/>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环保投资总概算</w:t>
            </w:r>
          </w:p>
        </w:tc>
        <w:tc>
          <w:tcPr>
            <w:tcW w:w="1325" w:type="dxa"/>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lang w:val="en-US" w:eastAsia="zh-CN"/>
              </w:rPr>
              <w:t>86</w:t>
            </w:r>
            <w:r>
              <w:rPr>
                <w:rFonts w:hint="default" w:ascii="Times New Roman" w:hAnsi="Times New Roman" w:cs="Times New Roman"/>
                <w:color w:val="auto"/>
                <w:szCs w:val="24"/>
              </w:rPr>
              <w:t>万元</w:t>
            </w:r>
          </w:p>
        </w:tc>
        <w:tc>
          <w:tcPr>
            <w:tcW w:w="775" w:type="dxa"/>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比例</w:t>
            </w:r>
          </w:p>
        </w:tc>
        <w:tc>
          <w:tcPr>
            <w:tcW w:w="961" w:type="dxa"/>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lang w:val="en-US" w:eastAsia="zh-CN"/>
              </w:rPr>
              <w:t>8.6</w:t>
            </w:r>
            <w:r>
              <w:rPr>
                <w:rFonts w:hint="default" w:ascii="Times New Roman" w:hAnsi="Times New Roman" w:cs="Times New Roman"/>
                <w:color w:val="auto"/>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jc w:val="center"/>
        </w:trPr>
        <w:tc>
          <w:tcPr>
            <w:tcW w:w="2161" w:type="dxa"/>
            <w:gridSpan w:val="2"/>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实际总概算</w:t>
            </w:r>
          </w:p>
        </w:tc>
        <w:tc>
          <w:tcPr>
            <w:tcW w:w="1919" w:type="dxa"/>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lang w:val="en-US" w:eastAsia="zh-CN"/>
              </w:rPr>
              <w:t>1000</w:t>
            </w:r>
            <w:r>
              <w:rPr>
                <w:rFonts w:hint="default" w:ascii="Times New Roman" w:hAnsi="Times New Roman" w:cs="Times New Roman"/>
                <w:color w:val="auto"/>
                <w:szCs w:val="24"/>
              </w:rPr>
              <w:t>万元</w:t>
            </w:r>
          </w:p>
        </w:tc>
        <w:tc>
          <w:tcPr>
            <w:tcW w:w="1783" w:type="dxa"/>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环保投资</w:t>
            </w:r>
          </w:p>
        </w:tc>
        <w:tc>
          <w:tcPr>
            <w:tcW w:w="1325" w:type="dxa"/>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lang w:val="en-US" w:eastAsia="zh-CN"/>
              </w:rPr>
              <w:t>160.5</w:t>
            </w:r>
            <w:r>
              <w:rPr>
                <w:rFonts w:hint="default" w:ascii="Times New Roman" w:hAnsi="Times New Roman" w:cs="Times New Roman"/>
                <w:color w:val="auto"/>
                <w:szCs w:val="24"/>
              </w:rPr>
              <w:t>万元</w:t>
            </w:r>
          </w:p>
        </w:tc>
        <w:tc>
          <w:tcPr>
            <w:tcW w:w="775" w:type="dxa"/>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比例</w:t>
            </w:r>
          </w:p>
        </w:tc>
        <w:tc>
          <w:tcPr>
            <w:tcW w:w="961" w:type="dxa"/>
            <w:vAlign w:val="center"/>
          </w:tcPr>
          <w:p>
            <w:pPr>
              <w:spacing w:line="24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lang w:val="en-US" w:eastAsia="zh-CN"/>
              </w:rPr>
              <w:t>16.05</w:t>
            </w:r>
            <w:r>
              <w:rPr>
                <w:rFonts w:hint="default" w:ascii="Times New Roman" w:hAnsi="Times New Roman" w:cs="Times New Roman"/>
                <w:color w:val="auto"/>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1291" w:type="dxa"/>
            <w:vAlign w:val="center"/>
          </w:tcPr>
          <w:p>
            <w:pPr>
              <w:jc w:val="center"/>
              <w:rPr>
                <w:rFonts w:hint="default" w:ascii="Times New Roman" w:hAnsi="Times New Roman" w:cs="Times New Roman"/>
                <w:color w:val="auto"/>
                <w:szCs w:val="24"/>
              </w:rPr>
            </w:pPr>
            <w:r>
              <w:rPr>
                <w:rFonts w:hint="default" w:ascii="Times New Roman" w:hAnsi="Times New Roman" w:eastAsia="宋体" w:cs="Times New Roman"/>
                <w:color w:val="auto"/>
                <w:sz w:val="24"/>
                <w:szCs w:val="24"/>
                <w:lang w:eastAsia="zh-CN"/>
              </w:rPr>
              <w:t>建设项目沿革简介</w:t>
            </w:r>
          </w:p>
        </w:tc>
        <w:tc>
          <w:tcPr>
            <w:tcW w:w="7633" w:type="dxa"/>
            <w:gridSpan w:val="6"/>
          </w:tcPr>
          <w:p>
            <w:pPr>
              <w:pStyle w:val="14"/>
              <w:widowControl/>
              <w:numPr>
                <w:ilvl w:val="0"/>
                <w:numId w:val="0"/>
              </w:numPr>
              <w:tabs>
                <w:tab w:val="left" w:pos="0"/>
              </w:tabs>
              <w:spacing w:before="0" w:beforeAutospacing="0" w:after="0" w:afterAutospacing="0"/>
              <w:ind w:leftChars="0"/>
              <w:jc w:val="both"/>
              <w:rPr>
                <w:rFonts w:hint="default" w:ascii="Times New Roman" w:hAnsi="Times New Roman" w:cs="Times New Roman"/>
                <w:color w:val="auto"/>
              </w:rPr>
            </w:pPr>
          </w:p>
          <w:p>
            <w:pPr>
              <w:spacing w:after="0" w:afterLines="0" w:line="360" w:lineRule="auto"/>
              <w:ind w:firstLine="480" w:firstLineChars="200"/>
              <w:jc w:val="left"/>
              <w:rPr>
                <w:rFonts w:hint="default" w:ascii="Times New Roman" w:hAnsi="Times New Roman" w:cs="Times New Roman"/>
                <w:color w:val="auto"/>
                <w:lang w:val="zh-TW" w:eastAsia="zh-CN"/>
              </w:rPr>
            </w:pPr>
            <w:r>
              <w:rPr>
                <w:rFonts w:hint="default" w:ascii="Times New Roman" w:hAnsi="Times New Roman" w:cs="Times New Roman"/>
                <w:color w:val="auto"/>
                <w:lang w:val="zh-TW" w:eastAsia="zh-CN"/>
              </w:rPr>
              <w:t>本项目前期建设主体为：陕西勇轩混凝土有限公司，该公司于</w:t>
            </w:r>
            <w:r>
              <w:rPr>
                <w:rFonts w:hint="default" w:ascii="Times New Roman" w:hAnsi="Times New Roman" w:cs="Times New Roman"/>
                <w:color w:val="auto"/>
                <w:lang w:val="en-US" w:eastAsia="zh-CN"/>
              </w:rPr>
              <w:t>2016年4月18日变更为陕西勇轩建材有限公司，变更文件见附件1</w:t>
            </w:r>
            <w:r>
              <w:rPr>
                <w:rFonts w:hint="default" w:ascii="Times New Roman" w:hAnsi="Times New Roman" w:cs="Times New Roman"/>
                <w:color w:val="auto"/>
                <w:lang w:val="zh-TW" w:eastAsia="zh-CN"/>
              </w:rPr>
              <w:t>；</w:t>
            </w:r>
          </w:p>
          <w:p>
            <w:pPr>
              <w:spacing w:after="0" w:afterLines="0" w:line="360" w:lineRule="auto"/>
              <w:ind w:firstLine="480" w:firstLineChars="200"/>
              <w:jc w:val="left"/>
              <w:rPr>
                <w:rFonts w:hint="default" w:ascii="Times New Roman" w:hAnsi="Times New Roman" w:cs="Times New Roman"/>
                <w:color w:val="auto"/>
                <w:lang w:val="en-US" w:eastAsia="zh-CN"/>
              </w:rPr>
            </w:pPr>
            <w:r>
              <w:rPr>
                <w:rFonts w:hint="default" w:ascii="Times New Roman" w:hAnsi="Times New Roman" w:cs="Times New Roman"/>
                <w:color w:val="auto"/>
                <w:lang w:val="zh-TW" w:eastAsia="zh-CN"/>
              </w:rPr>
              <w:t>前期经营产品和规模为：</w:t>
            </w:r>
            <w:r>
              <w:rPr>
                <w:rFonts w:hint="default" w:ascii="Times New Roman" w:hAnsi="Times New Roman" w:cs="Times New Roman"/>
                <w:color w:val="auto"/>
                <w:lang w:val="en-US" w:eastAsia="zh-CN"/>
              </w:rPr>
              <w:t>30万立方米预拌混凝土和30万吨干粉砂浆。</w:t>
            </w:r>
          </w:p>
          <w:p>
            <w:pPr>
              <w:spacing w:after="0" w:afterLines="0" w:line="360" w:lineRule="auto"/>
              <w:ind w:firstLine="480" w:firstLineChars="200"/>
              <w:jc w:val="left"/>
              <w:rPr>
                <w:rFonts w:hint="default" w:ascii="Times New Roman" w:hAnsi="Times New Roman" w:cs="Times New Roman"/>
                <w:color w:val="auto"/>
                <w:lang w:val="zh-TW" w:eastAsia="zh-CN"/>
              </w:rPr>
            </w:pPr>
            <w:r>
              <w:rPr>
                <w:rFonts w:hint="default" w:ascii="Times New Roman" w:hAnsi="Times New Roman" w:cs="Times New Roman"/>
                <w:color w:val="auto"/>
                <w:lang w:val="en-US" w:eastAsia="zh-CN"/>
              </w:rPr>
              <w:t>2016年3月，经陕西省西咸新区秦汉新城规划建设环保和房屋管理局批准，30万吨干粉砂浆项目建设主体变更为：陕西卓建永固建材有限公司，其他环评内容不变</w:t>
            </w:r>
            <w:r>
              <w:rPr>
                <w:rFonts w:hint="default" w:ascii="Times New Roman" w:hAnsi="Times New Roman" w:cs="Times New Roman"/>
                <w:color w:val="auto"/>
                <w:lang w:val="zh-TW" w:eastAsia="zh-CN"/>
              </w:rPr>
              <w:t>。</w:t>
            </w:r>
          </w:p>
          <w:p>
            <w:pPr>
              <w:spacing w:after="0" w:afterLines="0" w:line="360" w:lineRule="auto"/>
              <w:ind w:firstLine="480" w:firstLineChars="200"/>
              <w:jc w:val="left"/>
              <w:rPr>
                <w:rFonts w:hint="default" w:ascii="Times New Roman" w:hAnsi="Times New Roman" w:cs="Times New Roman"/>
                <w:color w:val="auto"/>
                <w:lang w:val="zh-TW"/>
              </w:rPr>
            </w:pPr>
            <w:r>
              <w:rPr>
                <w:rFonts w:hint="default" w:ascii="Times New Roman" w:hAnsi="Times New Roman" w:cs="Times New Roman"/>
                <w:color w:val="auto"/>
                <w:lang w:val="zh-TW" w:eastAsia="zh-CN"/>
              </w:rPr>
              <w:t>根据秦汉新城综合评定结果，</w:t>
            </w:r>
            <w:r>
              <w:rPr>
                <w:rFonts w:hint="default" w:ascii="Times New Roman" w:hAnsi="Times New Roman" w:cs="Times New Roman"/>
                <w:color w:val="auto"/>
                <w:lang w:val="en-US" w:eastAsia="zh-CN"/>
              </w:rPr>
              <w:t>陕西勇轩建材有限公司被列入取缔清理名单，</w:t>
            </w:r>
            <w:r>
              <w:rPr>
                <w:rFonts w:hint="default" w:ascii="Times New Roman" w:hAnsi="Times New Roman" w:cs="Times New Roman"/>
                <w:color w:val="auto"/>
                <w:lang w:val="zh-TW" w:eastAsia="zh-CN"/>
              </w:rPr>
              <w:t>建设单位于</w:t>
            </w:r>
            <w:r>
              <w:rPr>
                <w:rFonts w:hint="default" w:ascii="Times New Roman" w:hAnsi="Times New Roman" w:cs="Times New Roman"/>
                <w:color w:val="auto"/>
                <w:lang w:val="en-US" w:eastAsia="zh-CN"/>
              </w:rPr>
              <w:t>2019年6月签署了《“两类企业”综合整治三年取缔清理承诺书》，见附件</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w:t>
            </w:r>
            <w:r>
              <w:rPr>
                <w:rFonts w:hint="default" w:ascii="Times New Roman" w:hAnsi="Times New Roman" w:cs="Times New Roman"/>
                <w:color w:val="auto"/>
                <w:lang w:val="zh-TW" w:eastAsia="zh-CN"/>
              </w:rPr>
              <w:t>本次建设项目环境保护监测验收范围为：陕西勇轩建材有限公司</w:t>
            </w:r>
            <w:r>
              <w:rPr>
                <w:rFonts w:hint="default" w:ascii="Times New Roman" w:hAnsi="Times New Roman" w:cs="Times New Roman"/>
                <w:color w:val="auto"/>
                <w:lang w:val="en-US" w:eastAsia="zh-CN"/>
              </w:rPr>
              <w:t>30万立方米预拌混凝土项目。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598" w:hRule="atLeast"/>
          <w:jc w:val="center"/>
        </w:trPr>
        <w:tc>
          <w:tcPr>
            <w:tcW w:w="1291" w:type="dxa"/>
            <w:vAlign w:val="center"/>
          </w:tcPr>
          <w:p>
            <w:pPr>
              <w:jc w:val="center"/>
              <w:rPr>
                <w:rFonts w:hint="default" w:ascii="Times New Roman" w:hAnsi="Times New Roman" w:cs="Times New Roman"/>
                <w:color w:val="auto"/>
                <w:szCs w:val="24"/>
              </w:rPr>
            </w:pPr>
            <w:r>
              <w:rPr>
                <w:rFonts w:hint="default" w:ascii="Times New Roman" w:hAnsi="Times New Roman" w:cs="Times New Roman"/>
                <w:color w:val="auto"/>
                <w:szCs w:val="24"/>
              </w:rPr>
              <w:t>验收监测依据</w:t>
            </w:r>
          </w:p>
        </w:tc>
        <w:tc>
          <w:tcPr>
            <w:tcW w:w="7633" w:type="dxa"/>
            <w:gridSpan w:val="6"/>
          </w:tcPr>
          <w:p>
            <w:pPr>
              <w:pStyle w:val="14"/>
              <w:widowControl/>
              <w:numPr>
                <w:ilvl w:val="0"/>
                <w:numId w:val="1"/>
              </w:numPr>
              <w:spacing w:before="0" w:beforeAutospacing="0" w:after="0" w:afterAutospacing="0"/>
              <w:jc w:val="both"/>
              <w:rPr>
                <w:rFonts w:hint="default" w:ascii="Times New Roman" w:hAnsi="Times New Roman" w:cs="Times New Roman"/>
                <w:color w:val="auto"/>
              </w:rPr>
            </w:pPr>
            <w:r>
              <w:rPr>
                <w:rFonts w:hint="default" w:ascii="Times New Roman" w:hAnsi="Times New Roman" w:cs="Times New Roman"/>
                <w:color w:val="auto"/>
                <w:lang w:val="zh-TW" w:eastAsia="zh-TW"/>
              </w:rPr>
              <w:t>《中华人民共和国环境保护法》</w:t>
            </w:r>
            <w:r>
              <w:rPr>
                <w:rFonts w:hint="default" w:ascii="Times New Roman" w:hAnsi="Times New Roman" w:cs="Times New Roman"/>
                <w:color w:val="auto"/>
                <w:lang w:val="zh-TW"/>
              </w:rPr>
              <w:t>，</w:t>
            </w:r>
            <w:r>
              <w:rPr>
                <w:rFonts w:hint="default" w:ascii="Times New Roman" w:hAnsi="Times New Roman" w:cs="Times New Roman"/>
                <w:color w:val="auto"/>
                <w:lang w:val="zh-TW" w:eastAsia="zh-TW"/>
              </w:rPr>
              <w:t>2015</w:t>
            </w:r>
            <w:r>
              <w:rPr>
                <w:rFonts w:hint="default" w:ascii="Times New Roman" w:hAnsi="Times New Roman" w:cs="Times New Roman"/>
                <w:color w:val="auto"/>
              </w:rPr>
              <w:t>.</w:t>
            </w:r>
            <w:r>
              <w:rPr>
                <w:rFonts w:hint="default" w:ascii="Times New Roman" w:hAnsi="Times New Roman" w:cs="Times New Roman"/>
                <w:color w:val="auto"/>
                <w:lang w:val="zh-TW" w:eastAsia="zh-TW"/>
              </w:rPr>
              <w:t>1</w:t>
            </w:r>
            <w:r>
              <w:rPr>
                <w:rFonts w:hint="default" w:ascii="Times New Roman" w:hAnsi="Times New Roman" w:cs="Times New Roman"/>
                <w:color w:val="auto"/>
              </w:rPr>
              <w:t>.1</w:t>
            </w:r>
            <w:r>
              <w:rPr>
                <w:rFonts w:hint="default" w:ascii="Times New Roman" w:hAnsi="Times New Roman" w:cs="Times New Roman"/>
                <w:color w:val="auto"/>
                <w:lang w:val="zh-TW"/>
              </w:rPr>
              <w:t>；</w:t>
            </w:r>
          </w:p>
          <w:p>
            <w:pPr>
              <w:pStyle w:val="14"/>
              <w:widowControl/>
              <w:numPr>
                <w:ilvl w:val="0"/>
                <w:numId w:val="1"/>
              </w:numPr>
              <w:spacing w:before="0" w:beforeAutospacing="0" w:after="0" w:afterAutospacing="0"/>
              <w:jc w:val="both"/>
              <w:rPr>
                <w:rFonts w:hint="default" w:ascii="Times New Roman" w:hAnsi="Times New Roman" w:cs="Times New Roman"/>
                <w:color w:val="auto"/>
                <w:lang w:val="zh-TW" w:eastAsia="zh-TW"/>
              </w:rPr>
            </w:pPr>
            <w:r>
              <w:rPr>
                <w:rFonts w:hint="default" w:ascii="Times New Roman" w:hAnsi="Times New Roman" w:cs="Times New Roman"/>
                <w:color w:val="auto"/>
              </w:rPr>
              <w:t>《中华人民共和国环境影响评价法》，2018.12.29；</w:t>
            </w:r>
          </w:p>
          <w:p>
            <w:pPr>
              <w:pStyle w:val="14"/>
              <w:widowControl/>
              <w:numPr>
                <w:ilvl w:val="0"/>
                <w:numId w:val="1"/>
              </w:numPr>
              <w:spacing w:before="0" w:beforeAutospacing="0" w:after="0" w:afterAutospacing="0"/>
              <w:rPr>
                <w:rFonts w:hint="default" w:ascii="Times New Roman" w:hAnsi="Times New Roman" w:cs="Times New Roman"/>
                <w:color w:val="auto"/>
                <w:lang w:val="zh-TW" w:eastAsia="zh-TW"/>
              </w:rPr>
            </w:pPr>
            <w:r>
              <w:rPr>
                <w:rFonts w:hint="default" w:ascii="Times New Roman" w:hAnsi="Times New Roman" w:cs="Times New Roman"/>
                <w:color w:val="auto"/>
              </w:rPr>
              <w:t>《中华人民共和国固体废物污染环境防治法》，2016.11.7；</w:t>
            </w:r>
          </w:p>
          <w:p>
            <w:pPr>
              <w:pStyle w:val="14"/>
              <w:widowControl/>
              <w:numPr>
                <w:ilvl w:val="0"/>
                <w:numId w:val="1"/>
              </w:numPr>
              <w:spacing w:before="0" w:beforeAutospacing="0" w:after="0" w:afterAutospacing="0"/>
              <w:jc w:val="both"/>
              <w:rPr>
                <w:rFonts w:hint="default" w:ascii="Times New Roman" w:hAnsi="Times New Roman" w:cs="Times New Roman"/>
                <w:color w:val="auto"/>
                <w:lang w:val="zh-TW" w:eastAsia="zh-TW"/>
              </w:rPr>
            </w:pPr>
            <w:r>
              <w:rPr>
                <w:rFonts w:hint="default" w:ascii="Times New Roman" w:hAnsi="Times New Roman" w:cs="Times New Roman"/>
                <w:color w:val="auto"/>
                <w:lang w:val="zh-TW" w:eastAsia="zh-TW"/>
              </w:rPr>
              <w:t>《建设项目环境保护管理条例》（</w:t>
            </w:r>
            <w:r>
              <w:rPr>
                <w:rFonts w:hint="default" w:ascii="Times New Roman" w:hAnsi="Times New Roman" w:cs="Times New Roman"/>
                <w:color w:val="auto"/>
              </w:rPr>
              <w:t>2017</w:t>
            </w:r>
            <w:r>
              <w:rPr>
                <w:rFonts w:hint="default" w:ascii="Times New Roman" w:hAnsi="Times New Roman" w:cs="Times New Roman"/>
                <w:color w:val="auto"/>
                <w:lang w:val="zh-TW" w:eastAsia="zh-TW"/>
              </w:rPr>
              <w:t>年修订），201</w:t>
            </w:r>
            <w:r>
              <w:rPr>
                <w:rFonts w:hint="default" w:ascii="Times New Roman" w:hAnsi="Times New Roman" w:cs="Times New Roman"/>
                <w:color w:val="auto"/>
              </w:rPr>
              <w:t>7.</w:t>
            </w:r>
            <w:r>
              <w:rPr>
                <w:rFonts w:hint="default" w:ascii="Times New Roman" w:hAnsi="Times New Roman" w:cs="Times New Roman"/>
                <w:color w:val="auto"/>
                <w:lang w:val="zh-TW" w:eastAsia="zh-TW"/>
              </w:rPr>
              <w:t>1</w:t>
            </w:r>
            <w:r>
              <w:rPr>
                <w:rFonts w:hint="default" w:ascii="Times New Roman" w:hAnsi="Times New Roman" w:cs="Times New Roman"/>
                <w:color w:val="auto"/>
              </w:rPr>
              <w:t>0.1；</w:t>
            </w:r>
          </w:p>
          <w:p>
            <w:pPr>
              <w:pStyle w:val="14"/>
              <w:widowControl/>
              <w:numPr>
                <w:ilvl w:val="0"/>
                <w:numId w:val="1"/>
              </w:numPr>
              <w:spacing w:before="0" w:beforeAutospacing="0" w:after="0" w:afterAutospacing="0"/>
              <w:jc w:val="both"/>
              <w:rPr>
                <w:rFonts w:hint="default" w:ascii="Times New Roman" w:hAnsi="Times New Roman" w:cs="Times New Roman"/>
                <w:color w:val="auto"/>
                <w:lang w:val="zh-TW" w:eastAsia="zh-TW"/>
              </w:rPr>
            </w:pPr>
            <w:r>
              <w:rPr>
                <w:rFonts w:hint="default" w:ascii="Times New Roman" w:hAnsi="Times New Roman" w:cs="Times New Roman"/>
                <w:color w:val="auto"/>
                <w:lang w:val="zh-TW" w:eastAsia="zh-TW"/>
              </w:rPr>
              <w:t>《建设项目竣工环境保护验收暂行办法》（国环规环评[2017]4号，2017年11月20日发布实施）</w:t>
            </w:r>
            <w:r>
              <w:rPr>
                <w:rFonts w:hint="eastAsia" w:ascii="Times New Roman" w:hAnsi="Times New Roman" w:eastAsia="宋体" w:cs="Times New Roman"/>
                <w:color w:val="auto"/>
                <w:lang w:val="zh-TW" w:eastAsia="zh-CN"/>
              </w:rPr>
              <w:t>；</w:t>
            </w:r>
          </w:p>
          <w:p>
            <w:pPr>
              <w:pStyle w:val="14"/>
              <w:widowControl/>
              <w:numPr>
                <w:ilvl w:val="0"/>
                <w:numId w:val="1"/>
              </w:numPr>
              <w:spacing w:before="0" w:beforeAutospacing="0" w:after="0" w:afterAutospacing="0"/>
              <w:jc w:val="both"/>
              <w:rPr>
                <w:rFonts w:hint="default" w:ascii="Times New Roman" w:hAnsi="Times New Roman" w:cs="Times New Roman"/>
                <w:color w:val="auto"/>
                <w:lang w:val="zh-TW" w:eastAsia="zh-TW"/>
              </w:rPr>
            </w:pPr>
            <w:r>
              <w:rPr>
                <w:rFonts w:hint="default" w:ascii="Times New Roman" w:hAnsi="Times New Roman" w:cs="Times New Roman"/>
                <w:color w:val="auto"/>
                <w:lang w:val="zh-TW"/>
              </w:rPr>
              <w:t>关于发布《建设项目竣工环境保护验收技术指南 污染影响类》的公告，</w:t>
            </w:r>
            <w:r>
              <w:rPr>
                <w:rFonts w:hint="default" w:ascii="Times New Roman" w:hAnsi="Times New Roman" w:cs="Times New Roman"/>
                <w:color w:val="auto"/>
                <w:lang w:val="zh-TW" w:eastAsia="zh-TW"/>
              </w:rPr>
              <w:t>中华人民共和国</w:t>
            </w:r>
            <w:r>
              <w:rPr>
                <w:rFonts w:hint="default" w:ascii="Times New Roman" w:hAnsi="Times New Roman" w:cs="Times New Roman"/>
                <w:color w:val="auto"/>
                <w:lang w:val="zh-TW"/>
              </w:rPr>
              <w:t>生态环境部</w:t>
            </w:r>
            <w:r>
              <w:rPr>
                <w:rFonts w:hint="default" w:ascii="Times New Roman" w:hAnsi="Times New Roman" w:cs="Times New Roman"/>
                <w:color w:val="auto"/>
                <w:lang w:val="zh-TW" w:eastAsia="zh-TW"/>
              </w:rPr>
              <w:t>部（201</w:t>
            </w:r>
            <w:r>
              <w:rPr>
                <w:rFonts w:hint="default" w:ascii="Times New Roman" w:hAnsi="Times New Roman" w:cs="Times New Roman"/>
                <w:color w:val="auto"/>
              </w:rPr>
              <w:t>8</w:t>
            </w:r>
            <w:r>
              <w:rPr>
                <w:rFonts w:hint="default" w:ascii="Times New Roman" w:hAnsi="Times New Roman" w:cs="Times New Roman"/>
                <w:color w:val="auto"/>
                <w:lang w:val="zh-TW" w:eastAsia="zh-TW"/>
              </w:rPr>
              <w:t>）</w:t>
            </w:r>
            <w:r>
              <w:rPr>
                <w:rFonts w:hint="default" w:ascii="Times New Roman" w:hAnsi="Times New Roman" w:cs="Times New Roman"/>
                <w:color w:val="auto"/>
              </w:rPr>
              <w:t>9</w:t>
            </w:r>
            <w:r>
              <w:rPr>
                <w:rFonts w:hint="default" w:ascii="Times New Roman" w:hAnsi="Times New Roman" w:cs="Times New Roman"/>
                <w:color w:val="auto"/>
                <w:lang w:val="zh-TW" w:eastAsia="zh-TW"/>
              </w:rPr>
              <w:t xml:space="preserve"> 号，</w:t>
            </w:r>
            <w:r>
              <w:rPr>
                <w:rFonts w:hint="default" w:ascii="Times New Roman" w:hAnsi="Times New Roman" w:cs="Times New Roman"/>
                <w:color w:val="auto"/>
              </w:rPr>
              <w:t>2018年5月16日实施；</w:t>
            </w:r>
          </w:p>
          <w:p>
            <w:pPr>
              <w:pStyle w:val="14"/>
              <w:widowControl/>
              <w:numPr>
                <w:ilvl w:val="0"/>
                <w:numId w:val="1"/>
              </w:numPr>
              <w:spacing w:before="0" w:beforeAutospacing="0" w:after="0" w:afterAutospacing="0"/>
              <w:jc w:val="both"/>
              <w:rPr>
                <w:rFonts w:hint="default" w:ascii="Times New Roman" w:hAnsi="Times New Roman" w:cs="Times New Roman"/>
                <w:color w:val="auto"/>
                <w:lang w:val="zh-TW" w:eastAsia="zh-TW"/>
              </w:rPr>
            </w:pPr>
            <w:r>
              <w:rPr>
                <w:rFonts w:hint="default" w:ascii="Times New Roman" w:hAnsi="Times New Roman" w:cs="Times New Roman"/>
                <w:color w:val="auto"/>
                <w:lang w:val="zh-TW"/>
              </w:rPr>
              <w:t>《中国环境监测总站建设项目竣工环境保护验收监测管理规定》，中国环境监测总站（验字（2005) 172号），2005年12月14日实施；</w:t>
            </w:r>
          </w:p>
          <w:p>
            <w:pPr>
              <w:spacing w:after="0" w:afterLines="0" w:line="360" w:lineRule="auto"/>
              <w:jc w:val="left"/>
              <w:rPr>
                <w:rFonts w:hint="default" w:ascii="Times New Roman" w:hAnsi="Times New Roman" w:cs="Times New Roman"/>
                <w:color w:val="auto"/>
                <w:lang w:val="zh-TW" w:eastAsia="zh-CN"/>
              </w:rPr>
            </w:pPr>
            <w:r>
              <w:rPr>
                <w:rFonts w:hint="default" w:ascii="Times New Roman" w:hAnsi="Times New Roman" w:cs="Times New Roman"/>
                <w:color w:val="auto"/>
                <w:lang w:val="zh-TW"/>
              </w:rPr>
              <w:t>（</w:t>
            </w:r>
            <w:r>
              <w:rPr>
                <w:rFonts w:hint="eastAsia" w:ascii="Times New Roman" w:hAnsi="Times New Roman" w:cs="Times New Roman"/>
                <w:color w:val="auto"/>
                <w:lang w:val="en-US" w:eastAsia="zh-CN"/>
              </w:rPr>
              <w:t>8</w:t>
            </w:r>
            <w:r>
              <w:rPr>
                <w:rFonts w:hint="default" w:ascii="Times New Roman" w:hAnsi="Times New Roman" w:cs="Times New Roman"/>
                <w:color w:val="auto"/>
                <w:lang w:val="zh-TW"/>
              </w:rPr>
              <w:t>）</w:t>
            </w:r>
            <w:r>
              <w:rPr>
                <w:rFonts w:hint="default" w:ascii="Times New Roman" w:hAnsi="Times New Roman" w:cs="Times New Roman"/>
                <w:color w:val="auto"/>
                <w:lang w:val="zh-TW" w:eastAsia="zh-TW"/>
              </w:rPr>
              <w:t>《</w:t>
            </w:r>
            <w:r>
              <w:rPr>
                <w:rFonts w:hint="default" w:ascii="Times New Roman" w:hAnsi="Times New Roman" w:cs="Times New Roman"/>
                <w:color w:val="auto"/>
                <w:lang w:val="zh-TW" w:eastAsia="zh-CN"/>
              </w:rPr>
              <w:t>陕西勇轩混凝土有限公司年产经营</w:t>
            </w:r>
            <w:r>
              <w:rPr>
                <w:rFonts w:hint="default" w:ascii="Times New Roman" w:hAnsi="Times New Roman" w:cs="Times New Roman"/>
                <w:color w:val="auto"/>
                <w:lang w:val="en-US" w:eastAsia="zh-CN"/>
              </w:rPr>
              <w:t>30万m³预拌混凝土和30万立方米预拌混凝土</w:t>
            </w:r>
            <w:r>
              <w:rPr>
                <w:rFonts w:hint="default" w:ascii="Times New Roman" w:hAnsi="Times New Roman" w:cs="Times New Roman"/>
                <w:color w:val="auto"/>
                <w:lang w:val="zh-TW" w:eastAsia="zh-CN"/>
              </w:rPr>
              <w:t>项目</w:t>
            </w:r>
            <w:r>
              <w:rPr>
                <w:rFonts w:hint="default" w:ascii="Times New Roman" w:hAnsi="Times New Roman" w:cs="Times New Roman"/>
                <w:color w:val="auto"/>
                <w:lang w:val="zh-TW" w:eastAsia="zh-TW"/>
              </w:rPr>
              <w:t>环境影响报告表》</w:t>
            </w:r>
            <w:r>
              <w:rPr>
                <w:rFonts w:hint="default" w:ascii="Times New Roman" w:hAnsi="Times New Roman" w:cs="Times New Roman"/>
                <w:color w:val="auto"/>
                <w:lang w:val="zh-TW" w:eastAsia="zh-CN"/>
              </w:rPr>
              <w:t>，核工业二</w:t>
            </w:r>
            <w:r>
              <w:rPr>
                <w:rFonts w:hint="default" w:ascii="Times New Roman" w:hAnsi="Times New Roman" w:cs="Times New Roman"/>
                <w:color w:val="auto"/>
                <w:lang w:val="en-US" w:eastAsia="zh-CN"/>
              </w:rPr>
              <w:t>O三研究所</w:t>
            </w:r>
            <w:r>
              <w:rPr>
                <w:rFonts w:hint="default" w:ascii="Times New Roman" w:hAnsi="Times New Roman" w:cs="Times New Roman"/>
                <w:color w:val="auto"/>
                <w:lang w:val="zh-TW" w:eastAsia="zh-TW"/>
              </w:rPr>
              <w:t>，201</w:t>
            </w:r>
            <w:r>
              <w:rPr>
                <w:rFonts w:hint="default" w:ascii="Times New Roman" w:hAnsi="Times New Roman" w:cs="Times New Roman"/>
                <w:color w:val="auto"/>
                <w:lang w:val="en-US" w:eastAsia="zh-CN"/>
              </w:rPr>
              <w:t>5</w:t>
            </w:r>
            <w:r>
              <w:rPr>
                <w:rFonts w:hint="default" w:ascii="Times New Roman" w:hAnsi="Times New Roman" w:cs="Times New Roman"/>
                <w:color w:val="auto"/>
                <w:lang w:val="zh-TW" w:eastAsia="zh-TW"/>
              </w:rPr>
              <w:t>年</w:t>
            </w:r>
            <w:r>
              <w:rPr>
                <w:rFonts w:hint="default" w:ascii="Times New Roman" w:hAnsi="Times New Roman" w:cs="Times New Roman"/>
                <w:color w:val="auto"/>
                <w:lang w:val="en-US" w:eastAsia="zh-CN"/>
              </w:rPr>
              <w:t>9</w:t>
            </w:r>
            <w:r>
              <w:rPr>
                <w:rFonts w:hint="default" w:ascii="Times New Roman" w:hAnsi="Times New Roman" w:cs="Times New Roman"/>
                <w:color w:val="auto"/>
                <w:lang w:val="zh-TW" w:eastAsia="zh-TW"/>
              </w:rPr>
              <w:t>月</w:t>
            </w:r>
            <w:r>
              <w:rPr>
                <w:rFonts w:hint="default" w:ascii="Times New Roman" w:hAnsi="Times New Roman" w:cs="Times New Roman"/>
                <w:color w:val="auto"/>
                <w:lang w:val="zh-TW" w:eastAsia="zh-CN"/>
              </w:rPr>
              <w:t>。</w:t>
            </w:r>
          </w:p>
          <w:p>
            <w:pPr>
              <w:tabs>
                <w:tab w:val="left" w:pos="0"/>
              </w:tabs>
              <w:jc w:val="both"/>
              <w:rPr>
                <w:rFonts w:hint="default" w:ascii="Times New Roman" w:hAnsi="Times New Roman" w:cs="Times New Roman"/>
                <w:color w:val="auto"/>
                <w:lang w:val="zh-TW"/>
              </w:rPr>
            </w:pPr>
            <w:r>
              <w:rPr>
                <w:rFonts w:hint="default" w:ascii="Times New Roman" w:hAnsi="Times New Roman" w:cs="Times New Roman"/>
                <w:color w:val="auto"/>
                <w:lang w:val="zh-TW"/>
              </w:rPr>
              <w:t>（</w:t>
            </w:r>
            <w:r>
              <w:rPr>
                <w:rFonts w:hint="eastAsia" w:ascii="Times New Roman" w:hAnsi="Times New Roman" w:cs="Times New Roman"/>
                <w:color w:val="auto"/>
                <w:lang w:val="en-US" w:eastAsia="zh-CN"/>
              </w:rPr>
              <w:t>9</w:t>
            </w:r>
            <w:r>
              <w:rPr>
                <w:rFonts w:hint="default" w:ascii="Times New Roman" w:hAnsi="Times New Roman" w:cs="Times New Roman"/>
                <w:color w:val="auto"/>
                <w:lang w:val="zh-TW"/>
              </w:rPr>
              <w:t>）</w:t>
            </w:r>
            <w:r>
              <w:rPr>
                <w:rFonts w:hint="default" w:ascii="Times New Roman" w:hAnsi="Times New Roman" w:cs="Times New Roman"/>
                <w:color w:val="auto"/>
                <w:lang w:val="en-US" w:eastAsia="zh-CN"/>
              </w:rPr>
              <w:t>陕西省西咸新区秦汉新城规划建设环保和房屋管理局</w:t>
            </w:r>
            <w:r>
              <w:rPr>
                <w:rFonts w:hint="default" w:ascii="Times New Roman" w:hAnsi="Times New Roman" w:cs="Times New Roman"/>
                <w:color w:val="auto"/>
                <w:lang w:val="zh-TW" w:eastAsia="zh-CN"/>
              </w:rPr>
              <w:t>《</w:t>
            </w:r>
            <w:r>
              <w:rPr>
                <w:rFonts w:hint="default" w:ascii="Times New Roman" w:hAnsi="Times New Roman" w:cs="Times New Roman"/>
                <w:color w:val="auto"/>
                <w:lang w:val="en-US" w:eastAsia="zh-CN"/>
              </w:rPr>
              <w:t>关于</w:t>
            </w:r>
            <w:r>
              <w:rPr>
                <w:rFonts w:hint="default" w:ascii="Times New Roman" w:hAnsi="Times New Roman" w:cs="Times New Roman"/>
                <w:color w:val="auto"/>
                <w:lang w:val="zh-TW" w:eastAsia="zh-CN"/>
              </w:rPr>
              <w:t>陕西勇轩混凝土有限公司年产经营</w:t>
            </w:r>
            <w:r>
              <w:rPr>
                <w:rFonts w:hint="default" w:ascii="Times New Roman" w:hAnsi="Times New Roman" w:cs="Times New Roman"/>
                <w:color w:val="auto"/>
                <w:lang w:val="en-US" w:eastAsia="zh-CN"/>
              </w:rPr>
              <w:t>30万立方米预拌混凝土和30万立方米预拌混凝土</w:t>
            </w:r>
            <w:r>
              <w:rPr>
                <w:rFonts w:hint="default" w:ascii="Times New Roman" w:hAnsi="Times New Roman" w:cs="Times New Roman"/>
                <w:color w:val="auto"/>
                <w:lang w:val="zh-TW" w:eastAsia="zh-CN"/>
              </w:rPr>
              <w:t>项目环境影响报告表的批复》（</w:t>
            </w:r>
            <w:r>
              <w:rPr>
                <w:rFonts w:hint="default" w:ascii="Times New Roman" w:hAnsi="Times New Roman" w:cs="Times New Roman"/>
                <w:color w:val="auto"/>
                <w:lang w:val="en-US" w:eastAsia="zh-CN"/>
              </w:rPr>
              <w:t>秦汉管规函[2015]108号</w:t>
            </w:r>
            <w:r>
              <w:rPr>
                <w:rFonts w:hint="default" w:ascii="Times New Roman" w:hAnsi="Times New Roman" w:cs="Times New Roman"/>
                <w:color w:val="auto"/>
                <w:lang w:val="zh-TW" w:eastAsia="zh-CN"/>
              </w:rPr>
              <w:t>）。见附件</w:t>
            </w:r>
            <w:r>
              <w:rPr>
                <w:rFonts w:hint="eastAsia" w:ascii="Times New Roman" w:hAnsi="Times New Roman" w:cs="Times New Roman"/>
                <w:color w:val="auto"/>
                <w:lang w:val="en-US" w:eastAsia="zh-CN"/>
              </w:rPr>
              <w:t>3</w:t>
            </w:r>
            <w:r>
              <w:rPr>
                <w:rFonts w:hint="default" w:ascii="Times New Roman" w:hAnsi="Times New Roman" w:cs="Times New Roman"/>
                <w:color w:val="auto"/>
                <w:lang w:val="zh-TW" w:eastAsia="zh-CN"/>
              </w:rPr>
              <w:t>；</w:t>
            </w:r>
          </w:p>
          <w:p>
            <w:pPr>
              <w:spacing w:after="0" w:afterLines="0" w:line="360" w:lineRule="auto"/>
              <w:jc w:val="left"/>
              <w:rPr>
                <w:rFonts w:hint="default" w:ascii="Times New Roman" w:hAnsi="Times New Roman" w:cs="Times New Roman"/>
                <w:color w:val="auto"/>
                <w:lang w:val="zh-TW" w:eastAsia="zh-CN"/>
              </w:rPr>
            </w:pP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0</w:t>
            </w:r>
            <w:r>
              <w:rPr>
                <w:rFonts w:hint="default" w:ascii="Times New Roman" w:hAnsi="Times New Roman" w:cs="Times New Roman"/>
                <w:color w:val="auto"/>
                <w:lang w:val="en-US" w:eastAsia="zh-CN"/>
              </w:rPr>
              <w:t>）陕西省西咸新区秦汉新城规划建设环保和房屋管理局</w:t>
            </w:r>
            <w:r>
              <w:rPr>
                <w:rFonts w:hint="default" w:ascii="Times New Roman" w:hAnsi="Times New Roman" w:cs="Times New Roman"/>
                <w:color w:val="auto"/>
                <w:lang w:val="zh-TW" w:eastAsia="zh-CN"/>
              </w:rPr>
              <w:t>《</w:t>
            </w:r>
            <w:r>
              <w:rPr>
                <w:rFonts w:hint="default" w:ascii="Times New Roman" w:hAnsi="Times New Roman" w:cs="Times New Roman"/>
                <w:color w:val="auto"/>
                <w:lang w:val="en-US" w:eastAsia="zh-CN"/>
              </w:rPr>
              <w:t>关于</w:t>
            </w:r>
            <w:r>
              <w:rPr>
                <w:rFonts w:hint="default" w:ascii="Times New Roman" w:hAnsi="Times New Roman" w:cs="Times New Roman"/>
                <w:color w:val="auto"/>
                <w:lang w:val="zh-TW" w:eastAsia="zh-CN"/>
              </w:rPr>
              <w:t>陕西勇轩混凝土有限公司年产经营</w:t>
            </w:r>
            <w:r>
              <w:rPr>
                <w:rFonts w:hint="default" w:ascii="Times New Roman" w:hAnsi="Times New Roman" w:cs="Times New Roman"/>
                <w:color w:val="auto"/>
                <w:lang w:val="en-US" w:eastAsia="zh-CN"/>
              </w:rPr>
              <w:t>30万立方米预拌混凝土和30万立方米预拌混凝土</w:t>
            </w:r>
            <w:r>
              <w:rPr>
                <w:rFonts w:hint="default" w:ascii="Times New Roman" w:hAnsi="Times New Roman" w:cs="Times New Roman"/>
                <w:color w:val="auto"/>
                <w:lang w:val="zh-TW" w:eastAsia="zh-CN"/>
              </w:rPr>
              <w:t>项目变更批复》（</w:t>
            </w:r>
            <w:r>
              <w:rPr>
                <w:rFonts w:hint="default" w:ascii="Times New Roman" w:hAnsi="Times New Roman" w:cs="Times New Roman"/>
                <w:color w:val="auto"/>
                <w:lang w:val="en-US" w:eastAsia="zh-CN"/>
              </w:rPr>
              <w:t>秦汉管规函[2016]23号</w:t>
            </w:r>
            <w:r>
              <w:rPr>
                <w:rFonts w:hint="default" w:ascii="Times New Roman" w:hAnsi="Times New Roman" w:cs="Times New Roman"/>
                <w:color w:val="auto"/>
                <w:lang w:val="zh-TW" w:eastAsia="zh-CN"/>
              </w:rPr>
              <w:t>）。见附件</w:t>
            </w:r>
            <w:r>
              <w:rPr>
                <w:rFonts w:hint="eastAsia" w:ascii="Times New Roman" w:hAnsi="Times New Roman" w:cs="Times New Roman"/>
                <w:color w:val="auto"/>
                <w:lang w:val="en-US" w:eastAsia="zh-CN"/>
              </w:rPr>
              <w:t>4</w:t>
            </w:r>
            <w:r>
              <w:rPr>
                <w:rFonts w:hint="default" w:ascii="Times New Roman" w:hAnsi="Times New Roman" w:cs="Times New Roman"/>
                <w:color w:val="auto"/>
                <w:lang w:val="zh-TW" w:eastAsia="zh-CN"/>
              </w:rPr>
              <w:t>；</w:t>
            </w:r>
          </w:p>
          <w:p>
            <w:pPr>
              <w:jc w:val="both"/>
              <w:rPr>
                <w:rFonts w:hint="default" w:ascii="Times New Roman" w:hAnsi="Times New Roman" w:cs="Times New Roman"/>
                <w:color w:val="auto"/>
                <w:lang w:val="en-US" w:eastAsia="zh-CN"/>
              </w:rPr>
            </w:pPr>
            <w:r>
              <w:rPr>
                <w:rFonts w:hint="default" w:ascii="Times New Roman" w:hAnsi="Times New Roman" w:cs="Times New Roman"/>
                <w:color w:val="auto"/>
              </w:rPr>
              <w:t>（1</w:t>
            </w:r>
            <w:r>
              <w:rPr>
                <w:rFonts w:hint="eastAsia" w:ascii="Times New Roman" w:hAnsi="Times New Roman" w:cs="Times New Roman"/>
                <w:color w:val="auto"/>
                <w:lang w:val="en-US" w:eastAsia="zh-CN"/>
              </w:rPr>
              <w:t>1</w:t>
            </w:r>
            <w:r>
              <w:rPr>
                <w:rFonts w:hint="default" w:ascii="Times New Roman" w:hAnsi="Times New Roman" w:cs="Times New Roman"/>
                <w:color w:val="auto"/>
              </w:rPr>
              <w:t>）</w:t>
            </w:r>
            <w:r>
              <w:rPr>
                <w:rFonts w:hint="default" w:ascii="Times New Roman" w:hAnsi="Times New Roman" w:cs="Times New Roman"/>
                <w:color w:val="auto"/>
                <w:lang w:val="zh-TW" w:eastAsia="zh-CN"/>
              </w:rPr>
              <w:t>《关于陕西勇轩混凝土有限公司年产</w:t>
            </w:r>
            <w:r>
              <w:rPr>
                <w:rFonts w:hint="default" w:ascii="Times New Roman" w:hAnsi="Times New Roman" w:cs="Times New Roman"/>
                <w:color w:val="auto"/>
                <w:lang w:val="en-US" w:eastAsia="zh-CN"/>
              </w:rPr>
              <w:t>30万立方米预拌混凝土和30万吨干混砂浆</w:t>
            </w:r>
            <w:r>
              <w:rPr>
                <w:rFonts w:hint="default" w:ascii="Times New Roman" w:hAnsi="Times New Roman" w:cs="Times New Roman"/>
                <w:color w:val="auto"/>
                <w:lang w:val="zh-TW" w:eastAsia="zh-CN"/>
              </w:rPr>
              <w:t>项目</w:t>
            </w:r>
            <w:r>
              <w:rPr>
                <w:rFonts w:hint="default" w:ascii="Times New Roman" w:hAnsi="Times New Roman" w:cs="Times New Roman"/>
                <w:color w:val="auto"/>
                <w:lang w:val="en-US" w:eastAsia="zh-CN"/>
              </w:rPr>
              <w:t>环境影响评价执行标准的批复</w:t>
            </w:r>
            <w:r>
              <w:rPr>
                <w:rFonts w:hint="default" w:ascii="Times New Roman" w:hAnsi="Times New Roman" w:cs="Times New Roman"/>
                <w:color w:val="auto"/>
                <w:lang w:val="zh-TW" w:eastAsia="zh-CN"/>
              </w:rPr>
              <w:t>》</w:t>
            </w:r>
            <w:r>
              <w:rPr>
                <w:rFonts w:hint="default" w:ascii="Times New Roman" w:hAnsi="Times New Roman" w:cs="Times New Roman"/>
                <w:color w:val="auto"/>
                <w:lang w:val="en-US" w:eastAsia="zh-CN"/>
              </w:rPr>
              <w:t>，秦汉管规函[2015]102号。</w:t>
            </w:r>
            <w:r>
              <w:rPr>
                <w:rFonts w:hint="default" w:ascii="Times New Roman" w:hAnsi="Times New Roman" w:cs="Times New Roman"/>
                <w:color w:val="auto"/>
                <w:lang w:val="zh-TW" w:eastAsia="zh-CN"/>
              </w:rPr>
              <w:t>见附件</w:t>
            </w:r>
            <w:r>
              <w:rPr>
                <w:rFonts w:hint="eastAsia" w:ascii="Times New Roman" w:hAnsi="Times New Roman" w:cs="Times New Roman"/>
                <w:color w:val="auto"/>
                <w:lang w:val="en-US" w:eastAsia="zh-CN"/>
              </w:rPr>
              <w:t>5</w:t>
            </w:r>
            <w:r>
              <w:rPr>
                <w:rFonts w:hint="default" w:ascii="Times New Roman" w:hAnsi="Times New Roman" w:cs="Times New Roman"/>
                <w:color w:val="auto"/>
                <w:lang w:val="zh-TW" w:eastAsia="zh-CN"/>
              </w:rPr>
              <w:t>；</w:t>
            </w:r>
          </w:p>
          <w:p>
            <w:pPr>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）本项目有关的其它技术资料。</w:t>
            </w:r>
          </w:p>
          <w:p>
            <w:pPr>
              <w:rPr>
                <w:rFonts w:hint="default" w:ascii="Times New Roman" w:hAnsi="Times New Roman" w:cs="Times New Roman"/>
                <w:color w:val="auto"/>
                <w:lang w:val="en-US" w:eastAsia="zh-CN"/>
              </w:rPr>
            </w:pPr>
          </w:p>
          <w:p>
            <w:pPr>
              <w:pStyle w:val="2"/>
              <w:rPr>
                <w:rFonts w:hint="default" w:ascii="Times New Roman" w:hAnsi="Times New Roman" w:cs="Times New Roman"/>
                <w:color w:val="auto"/>
                <w:lang w:val="zh-TW"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10" w:hRule="atLeast"/>
          <w:jc w:val="center"/>
        </w:trPr>
        <w:tc>
          <w:tcPr>
            <w:tcW w:w="1291" w:type="dxa"/>
            <w:vMerge w:val="restart"/>
            <w:vAlign w:val="center"/>
          </w:tcPr>
          <w:p>
            <w:pPr>
              <w:jc w:val="center"/>
              <w:rPr>
                <w:rFonts w:hint="default" w:ascii="Times New Roman" w:hAnsi="Times New Roman" w:cs="Times New Roman"/>
                <w:color w:val="auto"/>
                <w:szCs w:val="24"/>
              </w:rPr>
            </w:pPr>
            <w:r>
              <w:rPr>
                <w:rFonts w:hint="default" w:ascii="Times New Roman" w:hAnsi="Times New Roman" w:cs="Times New Roman"/>
                <w:color w:val="auto"/>
                <w:szCs w:val="24"/>
              </w:rPr>
              <w:t>验收监测评价标准、标号、级别、限值</w:t>
            </w:r>
          </w:p>
        </w:tc>
        <w:tc>
          <w:tcPr>
            <w:tcW w:w="7633" w:type="dxa"/>
            <w:gridSpan w:val="6"/>
            <w:vAlign w:val="center"/>
          </w:tcPr>
          <w:p>
            <w:pPr>
              <w:tabs>
                <w:tab w:val="left" w:pos="3285"/>
                <w:tab w:val="left" w:pos="3360"/>
                <w:tab w:val="left" w:pos="3780"/>
                <w:tab w:val="left" w:pos="4200"/>
                <w:tab w:val="left" w:pos="4620"/>
                <w:tab w:val="left" w:pos="5040"/>
                <w:tab w:val="left" w:pos="5460"/>
                <w:tab w:val="left" w:pos="7350"/>
                <w:tab w:val="left" w:pos="7500"/>
              </w:tabs>
              <w:ind w:firstLine="480" w:firstLineChars="200"/>
              <w:jc w:val="both"/>
              <w:rPr>
                <w:rFonts w:hint="default" w:ascii="Times New Roman" w:hAnsi="Times New Roman" w:cs="Times New Roman"/>
                <w:b/>
                <w:bCs/>
                <w:color w:val="auto"/>
                <w:szCs w:val="24"/>
              </w:rPr>
            </w:pPr>
            <w:r>
              <w:rPr>
                <w:rFonts w:hint="default" w:ascii="Times New Roman" w:hAnsi="Times New Roman" w:cs="Times New Roman"/>
                <w:color w:val="auto"/>
                <w:sz w:val="24"/>
                <w:szCs w:val="24"/>
                <w:lang w:val="en-US" w:eastAsia="zh-CN"/>
              </w:rPr>
              <w:t>依照</w:t>
            </w:r>
            <w:r>
              <w:rPr>
                <w:rFonts w:hint="default" w:ascii="Times New Roman" w:hAnsi="Times New Roman" w:eastAsia="宋体" w:cs="Times New Roman"/>
                <w:color w:val="auto"/>
                <w:sz w:val="24"/>
                <w:szCs w:val="24"/>
                <w:lang w:val="en-US" w:eastAsia="zh-CN"/>
              </w:rPr>
              <w:t>陕西省西咸新区秦汉新城规划建设环保和房屋管理局</w:t>
            </w:r>
            <w:r>
              <w:rPr>
                <w:rFonts w:hint="default" w:ascii="Times New Roman" w:hAnsi="Times New Roman" w:eastAsia="宋体" w:cs="Times New Roman"/>
                <w:color w:val="auto"/>
                <w:sz w:val="24"/>
                <w:szCs w:val="24"/>
                <w:lang w:val="zh-TW" w:eastAsia="zh-CN"/>
              </w:rPr>
              <w:t>《关于陕西勇轩混凝土有限公司年产</w:t>
            </w:r>
            <w:r>
              <w:rPr>
                <w:rFonts w:hint="default" w:ascii="Times New Roman" w:hAnsi="Times New Roman" w:eastAsia="宋体" w:cs="Times New Roman"/>
                <w:color w:val="auto"/>
                <w:sz w:val="24"/>
                <w:szCs w:val="24"/>
                <w:lang w:val="en-US" w:eastAsia="zh-CN"/>
              </w:rPr>
              <w:t>30万立方米预拌混凝土和30万吨干混砂浆</w:t>
            </w:r>
            <w:r>
              <w:rPr>
                <w:rFonts w:hint="default" w:ascii="Times New Roman" w:hAnsi="Times New Roman" w:eastAsia="宋体" w:cs="Times New Roman"/>
                <w:color w:val="auto"/>
                <w:sz w:val="24"/>
                <w:szCs w:val="24"/>
                <w:lang w:val="zh-TW" w:eastAsia="zh-CN"/>
              </w:rPr>
              <w:t>项目</w:t>
            </w:r>
            <w:r>
              <w:rPr>
                <w:rFonts w:hint="default" w:ascii="Times New Roman" w:hAnsi="Times New Roman" w:eastAsia="宋体" w:cs="Times New Roman"/>
                <w:color w:val="auto"/>
                <w:sz w:val="24"/>
                <w:szCs w:val="24"/>
                <w:lang w:val="en-US" w:eastAsia="zh-CN"/>
              </w:rPr>
              <w:t>环境影响评价执行标准的批复</w:t>
            </w:r>
            <w:r>
              <w:rPr>
                <w:rFonts w:hint="default" w:ascii="Times New Roman" w:hAnsi="Times New Roman" w:eastAsia="宋体" w:cs="Times New Roman"/>
                <w:color w:val="auto"/>
                <w:sz w:val="24"/>
                <w:szCs w:val="24"/>
                <w:lang w:val="zh-TW" w:eastAsia="zh-CN"/>
              </w:rPr>
              <w:t>》</w:t>
            </w:r>
            <w:r>
              <w:rPr>
                <w:rFonts w:hint="default" w:ascii="Times New Roman" w:hAnsi="Times New Roman" w:eastAsia="宋体" w:cs="Times New Roman"/>
                <w:color w:val="auto"/>
                <w:sz w:val="24"/>
                <w:szCs w:val="24"/>
                <w:lang w:val="en-US" w:eastAsia="zh-CN"/>
              </w:rPr>
              <w:t>，秦汉管规函[2015]102号</w:t>
            </w:r>
            <w:r>
              <w:rPr>
                <w:rFonts w:hint="default" w:ascii="Times New Roman" w:hAnsi="Times New Roman" w:cs="Times New Roman"/>
                <w:color w:val="auto"/>
                <w:szCs w:val="24"/>
              </w:rPr>
              <w:t>，并结合现行标准规范，项目</w:t>
            </w:r>
            <w:r>
              <w:rPr>
                <w:rFonts w:hint="default" w:ascii="Times New Roman" w:hAnsi="Times New Roman" w:cs="Times New Roman"/>
                <w:color w:val="auto"/>
                <w:szCs w:val="24"/>
                <w:lang w:eastAsia="zh-CN"/>
              </w:rPr>
              <w:t>固废</w:t>
            </w:r>
            <w:r>
              <w:rPr>
                <w:rFonts w:hint="default" w:ascii="Times New Roman" w:hAnsi="Times New Roman" w:cs="Times New Roman"/>
                <w:color w:val="auto"/>
                <w:szCs w:val="24"/>
              </w:rPr>
              <w:t>污染防治设施竣工环境保护验收执行如下标准：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959" w:hRule="atLeast"/>
          <w:jc w:val="center"/>
        </w:trPr>
        <w:tc>
          <w:tcPr>
            <w:tcW w:w="1291" w:type="dxa"/>
            <w:vMerge w:val="continue"/>
            <w:vAlign w:val="center"/>
          </w:tcPr>
          <w:p>
            <w:pPr>
              <w:jc w:val="center"/>
              <w:rPr>
                <w:rFonts w:hint="default" w:ascii="Times New Roman" w:hAnsi="Times New Roman" w:cs="Times New Roman"/>
                <w:color w:val="auto"/>
                <w:szCs w:val="24"/>
              </w:rPr>
            </w:pPr>
          </w:p>
        </w:tc>
        <w:tc>
          <w:tcPr>
            <w:tcW w:w="7633" w:type="dxa"/>
            <w:gridSpan w:val="6"/>
            <w:vAlign w:val="center"/>
          </w:tcPr>
          <w:p>
            <w:pPr>
              <w:tabs>
                <w:tab w:val="left" w:pos="3285"/>
                <w:tab w:val="left" w:pos="3360"/>
                <w:tab w:val="left" w:pos="3780"/>
                <w:tab w:val="left" w:pos="4200"/>
                <w:tab w:val="left" w:pos="4620"/>
                <w:tab w:val="left" w:pos="5040"/>
                <w:tab w:val="left" w:pos="5460"/>
                <w:tab w:val="left" w:pos="7350"/>
                <w:tab w:val="left" w:pos="7500"/>
              </w:tabs>
              <w:ind w:firstLine="482" w:firstLineChars="200"/>
              <w:rPr>
                <w:rFonts w:hint="default" w:ascii="Times New Roman" w:hAnsi="Times New Roman" w:cs="Times New Roman"/>
                <w:color w:val="auto"/>
              </w:rPr>
            </w:pPr>
            <w:r>
              <w:rPr>
                <w:rFonts w:hint="default" w:ascii="Times New Roman" w:hAnsi="Times New Roman" w:cs="Times New Roman"/>
                <w:b/>
                <w:bCs/>
                <w:color w:val="auto"/>
              </w:rPr>
              <w:t>污染物排放标准：</w:t>
            </w:r>
            <w:r>
              <w:rPr>
                <w:rFonts w:hint="default" w:ascii="Times New Roman" w:hAnsi="Times New Roman" w:cs="Times New Roman"/>
                <w:color w:val="auto"/>
              </w:rPr>
              <w:t>固体废物排放执行《一般工业固体废物贮存、处置场污染控制标准》（GB18599-2001）及2013修改单中相关要求；危险废物执行《危险废物贮存污染控制标准》（GB18597-2001）及其修改单中相关规定。</w:t>
            </w:r>
          </w:p>
          <w:p>
            <w:pPr>
              <w:jc w:val="both"/>
              <w:rPr>
                <w:rFonts w:hint="default" w:ascii="Times New Roman" w:hAnsi="Times New Roman" w:cs="Times New Roman"/>
                <w:color w:val="auto"/>
              </w:rPr>
            </w:pPr>
          </w:p>
        </w:tc>
      </w:tr>
    </w:tbl>
    <w:p>
      <w:pPr>
        <w:rPr>
          <w:rFonts w:hint="default" w:ascii="Times New Roman" w:hAnsi="Times New Roman" w:cs="Times New Roman"/>
          <w:b/>
          <w:color w:val="auto"/>
          <w:szCs w:val="24"/>
        </w:rPr>
      </w:pPr>
      <w:r>
        <w:rPr>
          <w:rFonts w:hint="default" w:ascii="Times New Roman" w:hAnsi="Times New Roman" w:eastAsia="仿宋_GB2312" w:cs="Times New Roman"/>
          <w:color w:val="auto"/>
          <w:sz w:val="21"/>
          <w:szCs w:val="21"/>
        </w:rPr>
        <w:br w:type="page"/>
      </w:r>
      <w:r>
        <w:rPr>
          <w:rFonts w:hint="default" w:ascii="Times New Roman" w:hAnsi="Times New Roman" w:cs="Times New Roman"/>
          <w:b/>
          <w:color w:val="auto"/>
          <w:szCs w:val="24"/>
        </w:rPr>
        <w:t>表二</w:t>
      </w:r>
    </w:p>
    <w:tbl>
      <w:tblPr>
        <w:tblStyle w:val="17"/>
        <w:tblW w:w="902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896" w:hRule="atLeast"/>
          <w:jc w:val="center"/>
        </w:trPr>
        <w:tc>
          <w:tcPr>
            <w:tcW w:w="9028" w:type="dxa"/>
            <w:vAlign w:val="top"/>
          </w:tcPr>
          <w:p>
            <w:pPr>
              <w:jc w:val="both"/>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工程建设内容：</w:t>
            </w:r>
          </w:p>
          <w:p>
            <w:pPr>
              <w:pStyle w:val="2"/>
              <w:numPr>
                <w:ilvl w:val="0"/>
                <w:numId w:val="2"/>
              </w:numPr>
              <w:spacing w:before="0" w:beforeLines="0" w:after="0" w:afterLines="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地理位置及平面布置</w:t>
            </w:r>
          </w:p>
          <w:p>
            <w:pPr>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本项目建设地点位于</w:t>
            </w:r>
            <w:r>
              <w:rPr>
                <w:rFonts w:hint="default" w:ascii="Times New Roman" w:hAnsi="Times New Roman" w:cs="Times New Roman"/>
                <w:color w:val="auto"/>
                <w:lang w:eastAsia="zh-CN"/>
              </w:rPr>
              <w:t>咸阳市渭城区张家湾村一组</w:t>
            </w:r>
            <w:r>
              <w:rPr>
                <w:rFonts w:hint="default" w:ascii="Times New Roman" w:hAnsi="Times New Roman" w:cs="Times New Roman"/>
                <w:color w:val="auto"/>
              </w:rPr>
              <w:t>，</w:t>
            </w:r>
            <w:r>
              <w:rPr>
                <w:rFonts w:hint="default" w:ascii="Times New Roman" w:hAnsi="Times New Roman" w:cs="Times New Roman"/>
                <w:color w:val="auto"/>
                <w:szCs w:val="24"/>
              </w:rPr>
              <w:t>地理坐标为</w:t>
            </w:r>
            <w:r>
              <w:rPr>
                <w:rFonts w:hint="default" w:ascii="Times New Roman" w:hAnsi="Times New Roman" w:cs="Times New Roman"/>
                <w:color w:val="auto"/>
              </w:rPr>
              <w:t>：</w:t>
            </w:r>
            <w:r>
              <w:rPr>
                <w:rFonts w:hint="default" w:ascii="Times New Roman" w:hAnsi="Times New Roman" w:cs="Times New Roman"/>
                <w:bCs/>
                <w:color w:val="auto"/>
                <w:lang w:eastAsia="zh-CN"/>
              </w:rPr>
              <w:t>E108°57'27.87"，N34°26'04.36"</w:t>
            </w:r>
            <w:r>
              <w:rPr>
                <w:rFonts w:hint="default" w:ascii="Times New Roman" w:hAnsi="Times New Roman" w:cs="Times New Roman"/>
                <w:color w:val="auto"/>
                <w:szCs w:val="24"/>
              </w:rPr>
              <w:t>。</w:t>
            </w:r>
            <w:r>
              <w:rPr>
                <w:rFonts w:hint="default" w:ascii="Times New Roman" w:hAnsi="Times New Roman" w:cs="Times New Roman"/>
                <w:color w:val="auto"/>
                <w:lang w:eastAsia="zh-CN"/>
              </w:rPr>
              <w:t>项目北侧为农田，西侧隔生产路为饲料厂，南侧为空地，东侧为陕西卓建永固建材有限公司</w:t>
            </w:r>
            <w:r>
              <w:rPr>
                <w:rFonts w:hint="default" w:ascii="Times New Roman" w:hAnsi="Times New Roman" w:cs="Times New Roman"/>
                <w:color w:val="auto"/>
              </w:rPr>
              <w:t>。</w:t>
            </w:r>
            <w:r>
              <w:rPr>
                <w:rFonts w:hint="default" w:ascii="Times New Roman" w:hAnsi="Times New Roman" w:cs="Times New Roman"/>
                <w:color w:val="auto"/>
                <w:szCs w:val="24"/>
              </w:rPr>
              <w:t>本项目地理位置图见图2.1，四邻关系图见图2.2，厂区总平面布置及污染源位置图见图2.3。</w:t>
            </w:r>
          </w:p>
          <w:p>
            <w:pPr>
              <w:rPr>
                <w:rFonts w:hint="default" w:ascii="Times New Roman" w:hAnsi="Times New Roman" w:cs="Times New Roman"/>
                <w:b/>
                <w:bCs/>
                <w:color w:val="auto"/>
                <w:szCs w:val="24"/>
              </w:rPr>
            </w:pPr>
            <w:r>
              <w:rPr>
                <w:rFonts w:hint="default" w:ascii="Times New Roman" w:hAnsi="Times New Roman" w:cs="Times New Roman"/>
                <w:b/>
                <w:bCs/>
                <w:color w:val="auto"/>
                <w:szCs w:val="24"/>
              </w:rPr>
              <w:t xml:space="preserve">2、建设规模及内容 </w:t>
            </w:r>
          </w:p>
          <w:p>
            <w:pPr>
              <w:pStyle w:val="16"/>
              <w:spacing w:after="0"/>
              <w:ind w:left="0" w:leftChars="0" w:firstLine="480"/>
              <w:jc w:val="both"/>
              <w:rPr>
                <w:rFonts w:hint="default" w:ascii="Times New Roman" w:hAnsi="Times New Roman" w:cs="Times New Roman"/>
                <w:color w:val="auto"/>
                <w:szCs w:val="24"/>
              </w:rPr>
            </w:pPr>
            <w:r>
              <w:rPr>
                <w:rFonts w:hint="default" w:ascii="Times New Roman" w:hAnsi="Times New Roman" w:cs="Times New Roman"/>
                <w:color w:val="auto"/>
              </w:rPr>
              <w:t>本项目建设内容主要包括生产区、</w:t>
            </w:r>
            <w:r>
              <w:rPr>
                <w:rFonts w:hint="default" w:ascii="Times New Roman" w:hAnsi="Times New Roman" w:cs="Times New Roman"/>
                <w:color w:val="auto"/>
                <w:lang w:eastAsia="zh-CN"/>
              </w:rPr>
              <w:t>生活区</w:t>
            </w:r>
            <w:r>
              <w:rPr>
                <w:rFonts w:hint="default" w:ascii="Times New Roman" w:hAnsi="Times New Roman" w:cs="Times New Roman"/>
                <w:color w:val="auto"/>
              </w:rPr>
              <w:t>，占地面积为</w:t>
            </w:r>
            <w:r>
              <w:rPr>
                <w:rFonts w:hint="default" w:ascii="Times New Roman" w:hAnsi="Times New Roman" w:cs="Times New Roman"/>
                <w:color w:val="auto"/>
                <w:lang w:val="en-US" w:eastAsia="zh-CN"/>
              </w:rPr>
              <w:t>21000</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w:t>
            </w:r>
            <w:r>
              <w:rPr>
                <w:rFonts w:hint="default" w:ascii="Times New Roman" w:hAnsi="Times New Roman" w:cs="Times New Roman"/>
                <w:color w:val="auto"/>
                <w:szCs w:val="24"/>
              </w:rPr>
              <w:t>建设年产</w:t>
            </w:r>
            <w:r>
              <w:rPr>
                <w:rFonts w:hint="default" w:ascii="Times New Roman" w:hAnsi="Times New Roman" w:cs="Times New Roman"/>
                <w:color w:val="auto"/>
                <w:szCs w:val="24"/>
                <w:lang w:val="en-US" w:eastAsia="zh-CN"/>
              </w:rPr>
              <w:t>30万立方预拌混凝土生产线</w:t>
            </w:r>
            <w:r>
              <w:rPr>
                <w:rFonts w:hint="default" w:ascii="Times New Roman" w:hAnsi="Times New Roman" w:cs="Times New Roman"/>
                <w:color w:val="auto"/>
                <w:szCs w:val="24"/>
              </w:rPr>
              <w:t>。环评及批复阶段建设内容与实际建设内容一览表见表2-1。</w:t>
            </w:r>
          </w:p>
          <w:p>
            <w:pPr>
              <w:jc w:val="center"/>
              <w:rPr>
                <w:rFonts w:hint="default" w:ascii="Times New Roman" w:hAnsi="Times New Roman" w:cs="Times New Roman"/>
                <w:b/>
                <w:bCs/>
                <w:color w:val="auto"/>
              </w:rPr>
            </w:pPr>
            <w:r>
              <w:rPr>
                <w:rFonts w:hint="default" w:ascii="Times New Roman" w:hAnsi="Times New Roman" w:cs="Times New Roman"/>
                <w:b/>
                <w:bCs/>
                <w:color w:val="auto"/>
                <w:szCs w:val="24"/>
              </w:rPr>
              <w:t>表2-1   环评及批复阶段建设内容与实际建设内容一览表</w:t>
            </w:r>
          </w:p>
          <w:tbl>
            <w:tblPr>
              <w:tblStyle w:val="18"/>
              <w:tblW w:w="881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422"/>
              <w:gridCol w:w="2337"/>
              <w:gridCol w:w="2348"/>
              <w:gridCol w:w="19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47" w:type="dxa"/>
                  <w:tcBorders>
                    <w:tl2br w:val="nil"/>
                    <w:tr2bl w:val="nil"/>
                  </w:tcBorders>
                  <w:noWrap w:val="0"/>
                  <w:vAlign w:val="center"/>
                </w:tcPr>
                <w:p>
                  <w:pPr>
                    <w:widowControl w:val="0"/>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类别</w:t>
                  </w:r>
                </w:p>
              </w:tc>
              <w:tc>
                <w:tcPr>
                  <w:tcW w:w="1422" w:type="dxa"/>
                  <w:tcBorders>
                    <w:tl2br w:val="nil"/>
                    <w:tr2bl w:val="nil"/>
                  </w:tcBorders>
                  <w:noWrap w:val="0"/>
                  <w:vAlign w:val="center"/>
                </w:tcPr>
                <w:p>
                  <w:pPr>
                    <w:widowControl w:val="0"/>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项目</w:t>
                  </w:r>
                </w:p>
              </w:tc>
              <w:tc>
                <w:tcPr>
                  <w:tcW w:w="2337" w:type="dxa"/>
                  <w:tcBorders>
                    <w:tl2br w:val="nil"/>
                    <w:tr2bl w:val="nil"/>
                  </w:tcBorders>
                  <w:noWrap w:val="0"/>
                  <w:vAlign w:val="center"/>
                </w:tcPr>
                <w:p>
                  <w:pPr>
                    <w:widowControl w:val="0"/>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主要内容</w:t>
                  </w:r>
                </w:p>
              </w:tc>
              <w:tc>
                <w:tcPr>
                  <w:tcW w:w="2348" w:type="dxa"/>
                  <w:tcBorders>
                    <w:tl2br w:val="nil"/>
                    <w:tr2bl w:val="nil"/>
                  </w:tcBorders>
                  <w:noWrap w:val="0"/>
                  <w:vAlign w:val="center"/>
                </w:tcPr>
                <w:p>
                  <w:pPr>
                    <w:widowControl w:val="0"/>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实际建设内容</w:t>
                  </w:r>
                </w:p>
              </w:tc>
              <w:tc>
                <w:tcPr>
                  <w:tcW w:w="1958" w:type="dxa"/>
                  <w:tcBorders>
                    <w:tl2br w:val="nil"/>
                    <w:tr2bl w:val="nil"/>
                  </w:tcBorders>
                  <w:noWrap w:val="0"/>
                  <w:vAlign w:val="center"/>
                </w:tcPr>
                <w:p>
                  <w:pPr>
                    <w:widowControl w:val="0"/>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color w:val="auto"/>
                      <w:sz w:val="21"/>
                      <w:szCs w:val="21"/>
                    </w:rPr>
                    <w:t>与环评一致性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47"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主体工程</w:t>
                  </w:r>
                </w:p>
              </w:tc>
              <w:tc>
                <w:tcPr>
                  <w:tcW w:w="1422"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混凝土搅拌站</w:t>
                  </w:r>
                </w:p>
              </w:tc>
              <w:tc>
                <w:tcPr>
                  <w:tcW w:w="2337"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设搅拌设备2套，总占地面积2150㎡</w:t>
                  </w:r>
                </w:p>
              </w:tc>
              <w:tc>
                <w:tcPr>
                  <w:tcW w:w="2348"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设搅拌设备2套，总占地面积2150㎡</w:t>
                  </w:r>
                </w:p>
              </w:tc>
              <w:tc>
                <w:tcPr>
                  <w:tcW w:w="1958"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747" w:type="dxa"/>
                  <w:vMerge w:val="restart"/>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p>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p>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辅助工程</w:t>
                  </w:r>
                </w:p>
              </w:tc>
              <w:tc>
                <w:tcPr>
                  <w:tcW w:w="1422"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综合办公及职工宿舍</w:t>
                  </w:r>
                </w:p>
              </w:tc>
              <w:tc>
                <w:tcPr>
                  <w:tcW w:w="2337"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砖混结构，3F，建筑面积1920㎡</w:t>
                  </w:r>
                </w:p>
              </w:tc>
              <w:tc>
                <w:tcPr>
                  <w:tcW w:w="2348"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砖混结构，3F，建筑面积1920㎡</w:t>
                  </w:r>
                </w:p>
              </w:tc>
              <w:tc>
                <w:tcPr>
                  <w:tcW w:w="1958"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747" w:type="dxa"/>
                  <w:vMerge w:val="continue"/>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p>
              </w:tc>
              <w:tc>
                <w:tcPr>
                  <w:tcW w:w="1422"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砂大棚、各类堆场</w:t>
                  </w:r>
                </w:p>
              </w:tc>
              <w:tc>
                <w:tcPr>
                  <w:tcW w:w="2337"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总占地面积为13100㎡</w:t>
                  </w:r>
                </w:p>
              </w:tc>
              <w:tc>
                <w:tcPr>
                  <w:tcW w:w="2348"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总占地面积为13100㎡，混凝土堆场占地7145㎡</w:t>
                  </w:r>
                </w:p>
              </w:tc>
              <w:tc>
                <w:tcPr>
                  <w:tcW w:w="1958"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4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公用工程</w:t>
                  </w:r>
                </w:p>
              </w:tc>
              <w:tc>
                <w:tcPr>
                  <w:tcW w:w="1422"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供电</w:t>
                  </w:r>
                </w:p>
              </w:tc>
              <w:tc>
                <w:tcPr>
                  <w:tcW w:w="2337"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本项目供电由变电站及供变电专线接入</w:t>
                  </w:r>
                </w:p>
              </w:tc>
              <w:tc>
                <w:tcPr>
                  <w:tcW w:w="2348"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本项目供电由变电站及供变电专线接入</w:t>
                  </w:r>
                </w:p>
              </w:tc>
              <w:tc>
                <w:tcPr>
                  <w:tcW w:w="1958"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47" w:type="dxa"/>
                  <w:vMerge w:val="continue"/>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p>
              </w:tc>
              <w:tc>
                <w:tcPr>
                  <w:tcW w:w="1422"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供水</w:t>
                  </w:r>
                </w:p>
              </w:tc>
              <w:tc>
                <w:tcPr>
                  <w:tcW w:w="2337"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项目区供水由市政供水管网供给</w:t>
                  </w:r>
                </w:p>
              </w:tc>
              <w:tc>
                <w:tcPr>
                  <w:tcW w:w="2348"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项目区供水由市政供水管网供给</w:t>
                  </w:r>
                </w:p>
              </w:tc>
              <w:tc>
                <w:tcPr>
                  <w:tcW w:w="1958"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747" w:type="dxa"/>
                  <w:vMerge w:val="continue"/>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p>
              </w:tc>
              <w:tc>
                <w:tcPr>
                  <w:tcW w:w="1422"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排水</w:t>
                  </w:r>
                </w:p>
              </w:tc>
              <w:tc>
                <w:tcPr>
                  <w:tcW w:w="2337"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经化粪池/隔油池预处理后，再经自建地下式一体化污水处理系统处理后，用于厂区洒水，不外排。</w:t>
                  </w:r>
                </w:p>
              </w:tc>
              <w:tc>
                <w:tcPr>
                  <w:tcW w:w="2348"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餐饮废水经隔油池预处理后，与其他废水一同进入陕西卓建永固建材有限公司化粪池，然后进入地下一体化污水处理系统处理，用于厂区洒水，不外排。</w:t>
                  </w:r>
                </w:p>
              </w:tc>
              <w:tc>
                <w:tcPr>
                  <w:tcW w:w="1958"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747" w:type="dxa"/>
                  <w:vMerge w:val="continue"/>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p>
              </w:tc>
              <w:tc>
                <w:tcPr>
                  <w:tcW w:w="1422"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供热</w:t>
                  </w:r>
                </w:p>
              </w:tc>
              <w:tc>
                <w:tcPr>
                  <w:tcW w:w="2337"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空调采暖</w:t>
                  </w:r>
                </w:p>
              </w:tc>
              <w:tc>
                <w:tcPr>
                  <w:tcW w:w="2348"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空调采暖</w:t>
                  </w:r>
                </w:p>
              </w:tc>
              <w:tc>
                <w:tcPr>
                  <w:tcW w:w="1958" w:type="dxa"/>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747" w:type="dxa"/>
                  <w:vMerge w:val="restart"/>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环保工程</w:t>
                  </w:r>
                </w:p>
              </w:tc>
              <w:tc>
                <w:tcPr>
                  <w:tcW w:w="142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固废处理</w:t>
                  </w:r>
                </w:p>
              </w:tc>
              <w:tc>
                <w:tcPr>
                  <w:tcW w:w="23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生活垃圾经统一收集后市政部门外运</w:t>
                  </w:r>
                </w:p>
              </w:tc>
              <w:tc>
                <w:tcPr>
                  <w:tcW w:w="23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生活垃圾经统一收集后市政部门外运</w:t>
                  </w:r>
                </w:p>
              </w:tc>
              <w:tc>
                <w:tcPr>
                  <w:tcW w:w="19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747" w:type="dxa"/>
                  <w:vMerge w:val="continue"/>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p>
              </w:tc>
              <w:tc>
                <w:tcPr>
                  <w:tcW w:w="142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23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三级沉淀池底泥（即废混凝土），定期外售处理</w:t>
                  </w:r>
                </w:p>
              </w:tc>
              <w:tc>
                <w:tcPr>
                  <w:tcW w:w="23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搅拌后回用于生产，不排放</w:t>
                  </w:r>
                </w:p>
              </w:tc>
              <w:tc>
                <w:tcPr>
                  <w:tcW w:w="19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回用于生产，不排放，符合环保要求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747" w:type="dxa"/>
                  <w:vMerge w:val="continue"/>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p>
              </w:tc>
              <w:tc>
                <w:tcPr>
                  <w:tcW w:w="142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23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除尘装置收集的粉尘回用于生产</w:t>
                  </w:r>
                </w:p>
              </w:tc>
              <w:tc>
                <w:tcPr>
                  <w:tcW w:w="23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除尘装置收集的粉尘回用于生产</w:t>
                  </w:r>
                </w:p>
              </w:tc>
              <w:tc>
                <w:tcPr>
                  <w:tcW w:w="19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747" w:type="dxa"/>
                  <w:vMerge w:val="continue"/>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p>
              </w:tc>
              <w:tc>
                <w:tcPr>
                  <w:tcW w:w="142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p>
              </w:tc>
              <w:tc>
                <w:tcPr>
                  <w:tcW w:w="23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设备维修固废；暂存后，送有危废处置资质单位处理</w:t>
                  </w:r>
                </w:p>
              </w:tc>
              <w:tc>
                <w:tcPr>
                  <w:tcW w:w="23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设备维修固废；危废间暂存后，送有危废处置资质单位处理</w:t>
                  </w:r>
                </w:p>
              </w:tc>
              <w:tc>
                <w:tcPr>
                  <w:tcW w:w="19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747" w:type="dxa"/>
                  <w:vMerge w:val="continue"/>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p>
              </w:tc>
              <w:tc>
                <w:tcPr>
                  <w:tcW w:w="1422" w:type="dxa"/>
                  <w:vMerge w:val="continue"/>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p>
              </w:tc>
              <w:tc>
                <w:tcPr>
                  <w:tcW w:w="23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污水处理设施污泥作为农肥综合利用</w:t>
                  </w:r>
                </w:p>
              </w:tc>
              <w:tc>
                <w:tcPr>
                  <w:tcW w:w="23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依托陕西卓建永固建材有限公司化粪池、一体化处理设施，污水处理设施污泥作为农肥综合利用</w:t>
                  </w:r>
                </w:p>
              </w:tc>
              <w:tc>
                <w:tcPr>
                  <w:tcW w:w="19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7" w:hRule="atLeast"/>
              </w:trPr>
              <w:tc>
                <w:tcPr>
                  <w:tcW w:w="2169" w:type="dxa"/>
                  <w:gridSpan w:val="2"/>
                  <w:tcBorders>
                    <w:tl2br w:val="nil"/>
                    <w:tr2bl w:val="nil"/>
                  </w:tcBorders>
                  <w:noWrap w:val="0"/>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绿化</w:t>
                  </w:r>
                </w:p>
              </w:tc>
              <w:tc>
                <w:tcPr>
                  <w:tcW w:w="23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绿化面积9000㎡</w:t>
                  </w:r>
                </w:p>
              </w:tc>
              <w:tc>
                <w:tcPr>
                  <w:tcW w:w="2348" w:type="dxa"/>
                  <w:tcBorders>
                    <w:tl2br w:val="nil"/>
                    <w:tr2bl w:val="nil"/>
                  </w:tcBorders>
                  <w:noWrap w:val="0"/>
                  <w:vAlign w:val="center"/>
                </w:tcPr>
                <w:p>
                  <w:pPr>
                    <w:widowControl w:val="0"/>
                    <w:spacing w:line="240" w:lineRule="auto"/>
                    <w:jc w:val="both"/>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绿化面积9000㎡</w:t>
                  </w:r>
                </w:p>
              </w:tc>
              <w:tc>
                <w:tcPr>
                  <w:tcW w:w="1958" w:type="dxa"/>
                  <w:tcBorders>
                    <w:tl2br w:val="nil"/>
                    <w:tr2bl w:val="nil"/>
                  </w:tcBorders>
                  <w:noWrap w:val="0"/>
                  <w:vAlign w:val="center"/>
                </w:tcPr>
                <w:p>
                  <w:pPr>
                    <w:widowControl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eastAsia="zh-CN"/>
                    </w:rPr>
                    <w:t>一致</w:t>
                  </w:r>
                </w:p>
              </w:tc>
            </w:tr>
          </w:tbl>
          <w:p>
            <w:pPr>
              <w:outlineLvl w:val="0"/>
              <w:rPr>
                <w:rFonts w:hint="default" w:ascii="Times New Roman" w:hAnsi="Times New Roman" w:cs="Times New Roman"/>
                <w:b/>
                <w:color w:val="auto"/>
                <w:szCs w:val="24"/>
              </w:rPr>
            </w:pPr>
            <w:r>
              <w:rPr>
                <w:rFonts w:hint="default" w:ascii="Times New Roman" w:hAnsi="Times New Roman" w:cs="Times New Roman"/>
                <w:b/>
                <w:color w:val="auto"/>
                <w:szCs w:val="24"/>
              </w:rPr>
              <w:t>3、主要生产设备</w:t>
            </w:r>
          </w:p>
          <w:p>
            <w:pPr>
              <w:jc w:val="center"/>
              <w:rPr>
                <w:rFonts w:hint="default" w:ascii="Times New Roman" w:hAnsi="Times New Roman" w:cs="Times New Roman"/>
                <w:b/>
                <w:bCs/>
                <w:color w:val="auto"/>
              </w:rPr>
            </w:pPr>
            <w:r>
              <w:rPr>
                <w:rFonts w:hint="default" w:ascii="Times New Roman" w:hAnsi="Times New Roman" w:cs="Times New Roman"/>
                <w:b/>
                <w:bCs/>
                <w:color w:val="auto"/>
              </w:rPr>
              <w:t>表2-2  本项目主要设备表</w:t>
            </w:r>
          </w:p>
          <w:tbl>
            <w:tblPr>
              <w:tblStyle w:val="18"/>
              <w:tblW w:w="881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02"/>
              <w:gridCol w:w="1676"/>
              <w:gridCol w:w="2195"/>
              <w:gridCol w:w="1185"/>
              <w:gridCol w:w="15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3878" w:type="dxa"/>
                  <w:gridSpan w:val="2"/>
                  <w:vAlign w:val="center"/>
                </w:tcPr>
                <w:p>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环评及批复阶段主要设备名称及数量</w:t>
                  </w:r>
                </w:p>
              </w:tc>
              <w:tc>
                <w:tcPr>
                  <w:tcW w:w="3380" w:type="dxa"/>
                  <w:gridSpan w:val="2"/>
                  <w:vAlign w:val="center"/>
                </w:tcPr>
                <w:p>
                  <w:pPr>
                    <w:pStyle w:val="2"/>
                    <w:widowControl w:val="0"/>
                    <w:spacing w:before="0" w:beforeLines="0" w:after="0" w:afterLines="0" w:line="240" w:lineRule="auto"/>
                    <w:jc w:val="center"/>
                    <w:outlineLvl w:val="1"/>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实际建设主要设备名称及数量</w:t>
                  </w:r>
                </w:p>
              </w:tc>
              <w:tc>
                <w:tcPr>
                  <w:tcW w:w="1554" w:type="dxa"/>
                  <w:vAlign w:val="center"/>
                </w:tcPr>
                <w:p>
                  <w:pPr>
                    <w:pStyle w:val="2"/>
                    <w:widowControl w:val="0"/>
                    <w:spacing w:before="0" w:beforeLines="0" w:after="0" w:afterLines="0" w:line="240" w:lineRule="auto"/>
                    <w:jc w:val="center"/>
                    <w:outlineLvl w:val="1"/>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一致性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202" w:type="dxa"/>
                  <w:vAlign w:val="center"/>
                </w:tcPr>
                <w:p>
                  <w:pPr>
                    <w:pStyle w:val="2"/>
                    <w:widowControl w:val="0"/>
                    <w:spacing w:before="0" w:beforeLines="0" w:after="0" w:afterLines="0" w:line="240" w:lineRule="auto"/>
                    <w:jc w:val="center"/>
                    <w:outlineLvl w:val="1"/>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混凝土搅拌机</w:t>
                  </w:r>
                  <w:r>
                    <w:rPr>
                      <w:rFonts w:hint="eastAsia" w:cs="Times New Roman"/>
                      <w:b w:val="0"/>
                      <w:color w:val="auto"/>
                      <w:sz w:val="21"/>
                      <w:szCs w:val="21"/>
                      <w:lang w:val="en-US" w:eastAsia="zh-CN"/>
                    </w:rPr>
                    <w:t>（</w:t>
                  </w:r>
                  <w:r>
                    <w:rPr>
                      <w:rFonts w:hint="eastAsia"/>
                      <w:b w:val="0"/>
                      <w:bCs w:val="0"/>
                      <w:color w:val="auto"/>
                      <w:sz w:val="24"/>
                      <w:szCs w:val="32"/>
                      <w:vertAlign w:val="baseline"/>
                      <w:lang w:val="en-US" w:eastAsia="zh-CN"/>
                    </w:rPr>
                    <w:t>HZS120</w:t>
                  </w:r>
                  <w:r>
                    <w:rPr>
                      <w:rFonts w:hint="eastAsia" w:cs="Times New Roman"/>
                      <w:b w:val="0"/>
                      <w:color w:val="auto"/>
                      <w:sz w:val="21"/>
                      <w:szCs w:val="21"/>
                      <w:lang w:val="en-US" w:eastAsia="zh-CN"/>
                    </w:rPr>
                    <w:t>）</w:t>
                  </w:r>
                </w:p>
              </w:tc>
              <w:tc>
                <w:tcPr>
                  <w:tcW w:w="1676" w:type="dxa"/>
                  <w:vAlign w:val="center"/>
                </w:tcPr>
                <w:p>
                  <w:pPr>
                    <w:pStyle w:val="2"/>
                    <w:widowControl w:val="0"/>
                    <w:spacing w:before="0" w:beforeLines="0" w:after="0" w:afterLines="0" w:line="240" w:lineRule="auto"/>
                    <w:jc w:val="center"/>
                    <w:outlineLvl w:val="1"/>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2台</w:t>
                  </w:r>
                </w:p>
              </w:tc>
              <w:tc>
                <w:tcPr>
                  <w:tcW w:w="2195" w:type="dxa"/>
                  <w:tcBorders>
                    <w:right w:val="single" w:color="000000" w:sz="4" w:space="0"/>
                  </w:tcBorders>
                  <w:vAlign w:val="center"/>
                </w:tcPr>
                <w:p>
                  <w:pPr>
                    <w:pStyle w:val="2"/>
                    <w:widowControl w:val="0"/>
                    <w:spacing w:before="0" w:beforeLines="0" w:after="0" w:afterLines="0" w:line="240" w:lineRule="auto"/>
                    <w:jc w:val="center"/>
                    <w:outlineLvl w:val="1"/>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混凝土搅拌机</w:t>
                  </w:r>
                  <w:r>
                    <w:rPr>
                      <w:rFonts w:hint="eastAsia" w:cs="Times New Roman"/>
                      <w:b w:val="0"/>
                      <w:color w:val="auto"/>
                      <w:sz w:val="21"/>
                      <w:szCs w:val="21"/>
                      <w:lang w:val="en-US" w:eastAsia="zh-CN"/>
                    </w:rPr>
                    <w:t>（</w:t>
                  </w:r>
                  <w:r>
                    <w:rPr>
                      <w:rFonts w:hint="eastAsia"/>
                      <w:b w:val="0"/>
                      <w:bCs w:val="0"/>
                      <w:color w:val="auto"/>
                      <w:sz w:val="24"/>
                      <w:szCs w:val="32"/>
                      <w:vertAlign w:val="baseline"/>
                      <w:lang w:val="en-US" w:eastAsia="zh-CN"/>
                    </w:rPr>
                    <w:t>HZS120</w:t>
                  </w:r>
                  <w:r>
                    <w:rPr>
                      <w:rFonts w:hint="eastAsia" w:cs="Times New Roman"/>
                      <w:b w:val="0"/>
                      <w:color w:val="auto"/>
                      <w:sz w:val="21"/>
                      <w:szCs w:val="21"/>
                      <w:lang w:val="en-US" w:eastAsia="zh-CN"/>
                    </w:rPr>
                    <w:t>）</w:t>
                  </w:r>
                </w:p>
              </w:tc>
              <w:tc>
                <w:tcPr>
                  <w:tcW w:w="1185" w:type="dxa"/>
                  <w:tcBorders>
                    <w:left w:val="single" w:color="000000" w:sz="4" w:space="0"/>
                  </w:tcBorders>
                  <w:vAlign w:val="center"/>
                </w:tcPr>
                <w:p>
                  <w:pPr>
                    <w:pStyle w:val="2"/>
                    <w:widowControl w:val="0"/>
                    <w:spacing w:before="0" w:beforeLines="0" w:after="0" w:afterLines="0" w:line="240" w:lineRule="auto"/>
                    <w:jc w:val="center"/>
                    <w:outlineLvl w:val="1"/>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2台</w:t>
                  </w:r>
                </w:p>
              </w:tc>
              <w:tc>
                <w:tcPr>
                  <w:tcW w:w="1554" w:type="dxa"/>
                  <w:vAlign w:val="center"/>
                </w:tcPr>
                <w:p>
                  <w:pPr>
                    <w:widowControl w:val="0"/>
                    <w:spacing w:before="0" w:beforeLines="0" w:after="0" w:afterLines="0" w:line="240" w:lineRule="auto"/>
                    <w:jc w:val="center"/>
                    <w:outlineLvl w:val="1"/>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2202" w:type="dxa"/>
                  <w:vAlign w:val="center"/>
                </w:tcPr>
                <w:p>
                  <w:pPr>
                    <w:pStyle w:val="2"/>
                    <w:widowControl w:val="0"/>
                    <w:spacing w:before="0" w:beforeLines="0" w:after="0" w:afterLines="0" w:line="240" w:lineRule="auto"/>
                    <w:jc w:val="center"/>
                    <w:outlineLvl w:val="1"/>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筒料仓</w:t>
                  </w:r>
                  <w:r>
                    <w:rPr>
                      <w:rFonts w:hint="eastAsia" w:cs="Times New Roman"/>
                      <w:b w:val="0"/>
                      <w:color w:val="auto"/>
                      <w:sz w:val="21"/>
                      <w:szCs w:val="21"/>
                      <w:lang w:val="en-US" w:eastAsia="zh-CN"/>
                    </w:rPr>
                    <w:t>（</w:t>
                  </w:r>
                  <w:r>
                    <w:rPr>
                      <w:rFonts w:hint="eastAsia"/>
                      <w:b w:val="0"/>
                      <w:bCs w:val="0"/>
                      <w:color w:val="auto"/>
                      <w:sz w:val="24"/>
                      <w:szCs w:val="32"/>
                      <w:vertAlign w:val="baseline"/>
                      <w:lang w:val="en-US" w:eastAsia="zh-CN"/>
                    </w:rPr>
                    <w:t>200t</w:t>
                  </w:r>
                  <w:r>
                    <w:rPr>
                      <w:rFonts w:hint="eastAsia" w:cs="Times New Roman"/>
                      <w:b w:val="0"/>
                      <w:color w:val="auto"/>
                      <w:sz w:val="21"/>
                      <w:szCs w:val="21"/>
                      <w:lang w:val="en-US" w:eastAsia="zh-CN"/>
                    </w:rPr>
                    <w:t>）</w:t>
                  </w:r>
                </w:p>
              </w:tc>
              <w:tc>
                <w:tcPr>
                  <w:tcW w:w="1676" w:type="dxa"/>
                  <w:vAlign w:val="center"/>
                </w:tcPr>
                <w:p>
                  <w:pPr>
                    <w:pStyle w:val="2"/>
                    <w:widowControl w:val="0"/>
                    <w:spacing w:before="0" w:beforeLines="0" w:after="0" w:afterLines="0" w:line="240" w:lineRule="auto"/>
                    <w:jc w:val="center"/>
                    <w:outlineLvl w:val="1"/>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8个</w:t>
                  </w:r>
                </w:p>
              </w:tc>
              <w:tc>
                <w:tcPr>
                  <w:tcW w:w="2195" w:type="dxa"/>
                  <w:tcBorders>
                    <w:right w:val="single" w:color="000000" w:sz="4" w:space="0"/>
                  </w:tcBorders>
                  <w:vAlign w:val="center"/>
                </w:tcPr>
                <w:p>
                  <w:pPr>
                    <w:pStyle w:val="2"/>
                    <w:widowControl w:val="0"/>
                    <w:spacing w:before="0" w:beforeLines="0" w:after="0" w:afterLines="0" w:line="240" w:lineRule="auto"/>
                    <w:jc w:val="center"/>
                    <w:outlineLvl w:val="1"/>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筒料仓</w:t>
                  </w:r>
                  <w:r>
                    <w:rPr>
                      <w:rFonts w:hint="eastAsia" w:cs="Times New Roman"/>
                      <w:b w:val="0"/>
                      <w:color w:val="auto"/>
                      <w:sz w:val="21"/>
                      <w:szCs w:val="21"/>
                      <w:lang w:val="en-US" w:eastAsia="zh-CN"/>
                    </w:rPr>
                    <w:t>（</w:t>
                  </w:r>
                  <w:r>
                    <w:rPr>
                      <w:rFonts w:hint="eastAsia"/>
                      <w:b w:val="0"/>
                      <w:bCs w:val="0"/>
                      <w:color w:val="auto"/>
                      <w:sz w:val="24"/>
                      <w:szCs w:val="32"/>
                      <w:vertAlign w:val="baseline"/>
                      <w:lang w:val="en-US" w:eastAsia="zh-CN"/>
                    </w:rPr>
                    <w:t>200t</w:t>
                  </w:r>
                  <w:r>
                    <w:rPr>
                      <w:rFonts w:hint="eastAsia" w:cs="Times New Roman"/>
                      <w:b w:val="0"/>
                      <w:color w:val="auto"/>
                      <w:sz w:val="21"/>
                      <w:szCs w:val="21"/>
                      <w:lang w:val="en-US" w:eastAsia="zh-CN"/>
                    </w:rPr>
                    <w:t>）</w:t>
                  </w:r>
                </w:p>
              </w:tc>
              <w:tc>
                <w:tcPr>
                  <w:tcW w:w="1185" w:type="dxa"/>
                  <w:tcBorders>
                    <w:left w:val="single" w:color="000000" w:sz="4" w:space="0"/>
                  </w:tcBorders>
                  <w:vAlign w:val="center"/>
                </w:tcPr>
                <w:p>
                  <w:pPr>
                    <w:pStyle w:val="2"/>
                    <w:widowControl w:val="0"/>
                    <w:spacing w:before="0" w:beforeLines="0" w:after="0" w:afterLines="0" w:line="240" w:lineRule="auto"/>
                    <w:jc w:val="center"/>
                    <w:outlineLvl w:val="1"/>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8个</w:t>
                  </w:r>
                </w:p>
              </w:tc>
              <w:tc>
                <w:tcPr>
                  <w:tcW w:w="1554" w:type="dxa"/>
                  <w:vAlign w:val="center"/>
                </w:tcPr>
                <w:p>
                  <w:pPr>
                    <w:widowControl w:val="0"/>
                    <w:spacing w:before="0" w:beforeLines="0" w:after="0" w:afterLines="0" w:line="240" w:lineRule="auto"/>
                    <w:jc w:val="center"/>
                    <w:outlineLvl w:val="1"/>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2202" w:type="dxa"/>
                  <w:vAlign w:val="center"/>
                </w:tcPr>
                <w:p>
                  <w:pPr>
                    <w:pStyle w:val="2"/>
                    <w:widowControl w:val="0"/>
                    <w:spacing w:before="0" w:beforeLines="0" w:after="0" w:afterLines="0" w:line="240" w:lineRule="auto"/>
                    <w:jc w:val="center"/>
                    <w:outlineLvl w:val="1"/>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皮带输送设备</w:t>
                  </w:r>
                </w:p>
              </w:tc>
              <w:tc>
                <w:tcPr>
                  <w:tcW w:w="1676" w:type="dxa"/>
                  <w:vAlign w:val="center"/>
                </w:tcPr>
                <w:p>
                  <w:pPr>
                    <w:pStyle w:val="2"/>
                    <w:widowControl w:val="0"/>
                    <w:spacing w:before="0" w:beforeLines="0" w:after="0" w:afterLines="0" w:line="240" w:lineRule="auto"/>
                    <w:jc w:val="center"/>
                    <w:outlineLvl w:val="1"/>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2套</w:t>
                  </w:r>
                </w:p>
              </w:tc>
              <w:tc>
                <w:tcPr>
                  <w:tcW w:w="2195" w:type="dxa"/>
                  <w:tcBorders>
                    <w:right w:val="single" w:color="000000" w:sz="4" w:space="0"/>
                  </w:tcBorders>
                  <w:vAlign w:val="center"/>
                </w:tcPr>
                <w:p>
                  <w:pPr>
                    <w:pStyle w:val="2"/>
                    <w:widowControl w:val="0"/>
                    <w:spacing w:before="0" w:beforeLines="0" w:after="0" w:afterLines="0" w:line="240" w:lineRule="auto"/>
                    <w:jc w:val="center"/>
                    <w:outlineLvl w:val="1"/>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皮带输送设备</w:t>
                  </w:r>
                </w:p>
              </w:tc>
              <w:tc>
                <w:tcPr>
                  <w:tcW w:w="1185" w:type="dxa"/>
                  <w:tcBorders>
                    <w:left w:val="single" w:color="000000" w:sz="4" w:space="0"/>
                  </w:tcBorders>
                  <w:vAlign w:val="center"/>
                </w:tcPr>
                <w:p>
                  <w:pPr>
                    <w:pStyle w:val="2"/>
                    <w:widowControl w:val="0"/>
                    <w:spacing w:before="0" w:beforeLines="0" w:after="0" w:afterLines="0" w:line="240" w:lineRule="auto"/>
                    <w:jc w:val="center"/>
                    <w:outlineLvl w:val="1"/>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2套</w:t>
                  </w:r>
                </w:p>
              </w:tc>
              <w:tc>
                <w:tcPr>
                  <w:tcW w:w="1554" w:type="dxa"/>
                  <w:vAlign w:val="center"/>
                </w:tcPr>
                <w:p>
                  <w:pPr>
                    <w:widowControl w:val="0"/>
                    <w:spacing w:before="0" w:beforeLines="0" w:after="0" w:afterLines="0" w:line="240" w:lineRule="auto"/>
                    <w:jc w:val="center"/>
                    <w:outlineLvl w:val="1"/>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170" w:hRule="atLeast"/>
              </w:trPr>
              <w:tc>
                <w:tcPr>
                  <w:tcW w:w="2202" w:type="dxa"/>
                  <w:vAlign w:val="center"/>
                </w:tcPr>
                <w:p>
                  <w:pPr>
                    <w:pStyle w:val="2"/>
                    <w:widowControl w:val="0"/>
                    <w:spacing w:before="0" w:beforeLines="0" w:after="0" w:afterLines="0" w:line="240" w:lineRule="auto"/>
                    <w:jc w:val="center"/>
                    <w:outlineLvl w:val="1"/>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w:t>
                  </w:r>
                </w:p>
              </w:tc>
              <w:tc>
                <w:tcPr>
                  <w:tcW w:w="1676" w:type="dxa"/>
                  <w:vAlign w:val="center"/>
                </w:tcPr>
                <w:p>
                  <w:pPr>
                    <w:pStyle w:val="2"/>
                    <w:widowControl w:val="0"/>
                    <w:spacing w:before="0" w:beforeLines="0" w:after="0" w:afterLines="0" w:line="240" w:lineRule="auto"/>
                    <w:jc w:val="center"/>
                    <w:outlineLvl w:val="1"/>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w:t>
                  </w:r>
                </w:p>
              </w:tc>
              <w:tc>
                <w:tcPr>
                  <w:tcW w:w="2195" w:type="dxa"/>
                  <w:tcBorders>
                    <w:right w:val="single" w:color="000000" w:sz="4" w:space="0"/>
                  </w:tcBorders>
                  <w:vAlign w:val="center"/>
                </w:tcPr>
                <w:p>
                  <w:pPr>
                    <w:pStyle w:val="2"/>
                    <w:widowControl w:val="0"/>
                    <w:spacing w:before="0" w:beforeLines="0" w:after="0" w:afterLines="0" w:line="240" w:lineRule="auto"/>
                    <w:jc w:val="center"/>
                    <w:outlineLvl w:val="1"/>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多分离旱地筛砂机</w:t>
                  </w:r>
                </w:p>
              </w:tc>
              <w:tc>
                <w:tcPr>
                  <w:tcW w:w="1185" w:type="dxa"/>
                  <w:tcBorders>
                    <w:left w:val="single" w:color="000000" w:sz="4" w:space="0"/>
                  </w:tcBorders>
                  <w:vAlign w:val="center"/>
                </w:tcPr>
                <w:p>
                  <w:pPr>
                    <w:pStyle w:val="2"/>
                    <w:widowControl w:val="0"/>
                    <w:spacing w:before="0" w:beforeLines="0" w:after="0" w:afterLines="0" w:line="240" w:lineRule="auto"/>
                    <w:jc w:val="center"/>
                    <w:outlineLvl w:val="1"/>
                    <w:rPr>
                      <w:rFonts w:hint="default" w:ascii="Times New Roman" w:hAnsi="Times New Roman"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1台</w:t>
                  </w:r>
                </w:p>
              </w:tc>
              <w:tc>
                <w:tcPr>
                  <w:tcW w:w="1554" w:type="dxa"/>
                  <w:vAlign w:val="center"/>
                </w:tcPr>
                <w:p>
                  <w:pPr>
                    <w:widowControl w:val="0"/>
                    <w:spacing w:before="0" w:beforeLines="0" w:after="0" w:afterLines="0" w:line="240" w:lineRule="auto"/>
                    <w:jc w:val="center"/>
                    <w:outlineLvl w:val="1"/>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新增1台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170" w:hRule="atLeast"/>
              </w:trPr>
              <w:tc>
                <w:tcPr>
                  <w:tcW w:w="2202" w:type="dxa"/>
                  <w:vAlign w:val="center"/>
                </w:tcPr>
                <w:p>
                  <w:pPr>
                    <w:pStyle w:val="2"/>
                    <w:widowControl w:val="0"/>
                    <w:spacing w:before="0" w:beforeLines="0" w:after="0" w:afterLines="0" w:line="240" w:lineRule="auto"/>
                    <w:jc w:val="center"/>
                    <w:outlineLvl w:val="1"/>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w:t>
                  </w:r>
                </w:p>
              </w:tc>
              <w:tc>
                <w:tcPr>
                  <w:tcW w:w="1676" w:type="dxa"/>
                  <w:vAlign w:val="center"/>
                </w:tcPr>
                <w:p>
                  <w:pPr>
                    <w:pStyle w:val="2"/>
                    <w:widowControl w:val="0"/>
                    <w:spacing w:before="0" w:beforeLines="0" w:after="0" w:afterLines="0" w:line="240" w:lineRule="auto"/>
                    <w:jc w:val="center"/>
                    <w:outlineLvl w:val="1"/>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w:t>
                  </w:r>
                </w:p>
              </w:tc>
              <w:tc>
                <w:tcPr>
                  <w:tcW w:w="2195" w:type="dxa"/>
                  <w:tcBorders>
                    <w:right w:val="single" w:color="000000" w:sz="4" w:space="0"/>
                  </w:tcBorders>
                  <w:vAlign w:val="center"/>
                </w:tcPr>
                <w:p>
                  <w:pPr>
                    <w:pStyle w:val="2"/>
                    <w:widowControl w:val="0"/>
                    <w:spacing w:before="0" w:beforeLines="0" w:after="0" w:afterLines="0" w:line="240" w:lineRule="auto"/>
                    <w:jc w:val="center"/>
                    <w:outlineLvl w:val="1"/>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砂石分离机</w:t>
                  </w:r>
                </w:p>
              </w:tc>
              <w:tc>
                <w:tcPr>
                  <w:tcW w:w="1185" w:type="dxa"/>
                  <w:tcBorders>
                    <w:left w:val="single" w:color="000000" w:sz="4" w:space="0"/>
                  </w:tcBorders>
                  <w:vAlign w:val="center"/>
                </w:tcPr>
                <w:p>
                  <w:pPr>
                    <w:pStyle w:val="2"/>
                    <w:widowControl w:val="0"/>
                    <w:spacing w:before="0" w:beforeLines="0" w:after="0" w:afterLines="0" w:line="240" w:lineRule="auto"/>
                    <w:jc w:val="center"/>
                    <w:outlineLvl w:val="1"/>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1台</w:t>
                  </w:r>
                </w:p>
              </w:tc>
              <w:tc>
                <w:tcPr>
                  <w:tcW w:w="1554" w:type="dxa"/>
                  <w:vAlign w:val="center"/>
                </w:tcPr>
                <w:p>
                  <w:pPr>
                    <w:widowControl w:val="0"/>
                    <w:spacing w:before="0" w:beforeLines="0" w:after="0" w:afterLines="0" w:line="240" w:lineRule="auto"/>
                    <w:jc w:val="center"/>
                    <w:outlineLvl w:val="1"/>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新增1台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90" w:hRule="atLeast"/>
              </w:trPr>
              <w:tc>
                <w:tcPr>
                  <w:tcW w:w="2202" w:type="dxa"/>
                  <w:vAlign w:val="center"/>
                </w:tcPr>
                <w:p>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eastAsiaTheme="minorEastAsia"/>
                      <w:b w:val="0"/>
                      <w:bCs w:val="0"/>
                      <w:color w:val="auto"/>
                      <w:sz w:val="21"/>
                      <w:szCs w:val="21"/>
                      <w:vertAlign w:val="baseline"/>
                      <w:lang w:val="en-US" w:eastAsia="zh-CN"/>
                    </w:rPr>
                    <w:t>铲车</w:t>
                  </w:r>
                </w:p>
              </w:tc>
              <w:tc>
                <w:tcPr>
                  <w:tcW w:w="1676" w:type="dxa"/>
                  <w:vAlign w:val="center"/>
                </w:tcPr>
                <w:p>
                  <w:pPr>
                    <w:pStyle w:val="2"/>
                    <w:widowControl w:val="0"/>
                    <w:spacing w:before="0" w:beforeLines="0" w:after="0" w:afterLines="0" w:line="240" w:lineRule="auto"/>
                    <w:jc w:val="center"/>
                    <w:outlineLvl w:val="1"/>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2辆</w:t>
                  </w:r>
                </w:p>
              </w:tc>
              <w:tc>
                <w:tcPr>
                  <w:tcW w:w="2195" w:type="dxa"/>
                  <w:tcBorders>
                    <w:right w:val="single" w:color="000000" w:sz="4" w:space="0"/>
                  </w:tcBorders>
                  <w:vAlign w:val="center"/>
                </w:tcPr>
                <w:p>
                  <w:pPr>
                    <w:widowControl w:val="0"/>
                    <w:spacing w:line="240" w:lineRule="auto"/>
                    <w:jc w:val="center"/>
                    <w:rPr>
                      <w:rFonts w:hint="default" w:ascii="Times New Roman" w:hAnsi="Times New Roman" w:cs="Times New Roman"/>
                      <w:b w:val="0"/>
                      <w:color w:val="auto"/>
                      <w:sz w:val="21"/>
                      <w:szCs w:val="21"/>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铲车</w:t>
                  </w:r>
                </w:p>
              </w:tc>
              <w:tc>
                <w:tcPr>
                  <w:tcW w:w="1185" w:type="dxa"/>
                  <w:tcBorders>
                    <w:left w:val="single" w:color="000000" w:sz="4" w:space="0"/>
                  </w:tcBorders>
                  <w:vAlign w:val="center"/>
                </w:tcPr>
                <w:p>
                  <w:pPr>
                    <w:pStyle w:val="2"/>
                    <w:widowControl w:val="0"/>
                    <w:spacing w:before="0" w:beforeLines="0" w:after="0" w:afterLines="0" w:line="240" w:lineRule="auto"/>
                    <w:jc w:val="center"/>
                    <w:outlineLvl w:val="1"/>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2辆</w:t>
                  </w:r>
                </w:p>
              </w:tc>
              <w:tc>
                <w:tcPr>
                  <w:tcW w:w="1554" w:type="dxa"/>
                  <w:vAlign w:val="center"/>
                </w:tcPr>
                <w:p>
                  <w:pPr>
                    <w:pStyle w:val="2"/>
                    <w:widowControl w:val="0"/>
                    <w:spacing w:before="0" w:beforeLines="0" w:after="0" w:afterLines="0" w:line="240" w:lineRule="auto"/>
                    <w:jc w:val="center"/>
                    <w:outlineLvl w:val="1"/>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202" w:type="dxa"/>
                  <w:vAlign w:val="center"/>
                </w:tcPr>
                <w:p>
                  <w:pPr>
                    <w:widowControl w:val="0"/>
                    <w:spacing w:line="240" w:lineRule="auto"/>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WAM型除尘器</w:t>
                  </w:r>
                </w:p>
              </w:tc>
              <w:tc>
                <w:tcPr>
                  <w:tcW w:w="1676" w:type="dxa"/>
                  <w:vAlign w:val="center"/>
                </w:tcPr>
                <w:p>
                  <w:pPr>
                    <w:pStyle w:val="2"/>
                    <w:widowControl w:val="0"/>
                    <w:spacing w:before="0" w:beforeLines="0" w:after="0" w:afterLines="0" w:line="240" w:lineRule="auto"/>
                    <w:jc w:val="center"/>
                    <w:outlineLvl w:val="1"/>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bCs w:val="0"/>
                      <w:color w:val="auto"/>
                      <w:sz w:val="21"/>
                      <w:szCs w:val="21"/>
                      <w:vertAlign w:val="baseline"/>
                      <w:lang w:val="en-US" w:eastAsia="zh-CN"/>
                    </w:rPr>
                    <w:t>8套</w:t>
                  </w:r>
                </w:p>
              </w:tc>
              <w:tc>
                <w:tcPr>
                  <w:tcW w:w="2195" w:type="dxa"/>
                  <w:tcBorders>
                    <w:right w:val="single" w:color="000000" w:sz="4" w:space="0"/>
                  </w:tcBorders>
                  <w:vAlign w:val="center"/>
                </w:tcPr>
                <w:p>
                  <w:pPr>
                    <w:widowControl w:val="0"/>
                    <w:spacing w:line="240" w:lineRule="auto"/>
                    <w:jc w:val="center"/>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仓顶脉冲布袋除尘器</w:t>
                  </w:r>
                </w:p>
              </w:tc>
              <w:tc>
                <w:tcPr>
                  <w:tcW w:w="1185" w:type="dxa"/>
                  <w:tcBorders>
                    <w:left w:val="single" w:color="000000" w:sz="4" w:space="0"/>
                  </w:tcBorders>
                  <w:vAlign w:val="center"/>
                </w:tcPr>
                <w:p>
                  <w:pPr>
                    <w:pStyle w:val="2"/>
                    <w:widowControl w:val="0"/>
                    <w:spacing w:before="0" w:beforeLines="0" w:after="0" w:afterLines="0" w:line="240" w:lineRule="auto"/>
                    <w:jc w:val="center"/>
                    <w:outlineLvl w:val="1"/>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bCs w:val="0"/>
                      <w:color w:val="auto"/>
                      <w:sz w:val="21"/>
                      <w:szCs w:val="21"/>
                      <w:vertAlign w:val="baseline"/>
                      <w:lang w:val="en-US" w:eastAsia="zh-CN"/>
                    </w:rPr>
                    <w:t>4套</w:t>
                  </w:r>
                </w:p>
              </w:tc>
              <w:tc>
                <w:tcPr>
                  <w:tcW w:w="1554" w:type="dxa"/>
                  <w:vAlign w:val="center"/>
                </w:tcPr>
                <w:p>
                  <w:pPr>
                    <w:pStyle w:val="2"/>
                    <w:widowControl w:val="0"/>
                    <w:spacing w:before="0" w:beforeLines="0" w:after="0" w:afterLines="0" w:line="240" w:lineRule="auto"/>
                    <w:jc w:val="center"/>
                    <w:outlineLvl w:val="1"/>
                    <w:rPr>
                      <w:rFonts w:hint="default" w:ascii="Times New Roman" w:hAnsi="Times New Roman" w:cs="Times New Roman"/>
                      <w:b w:val="0"/>
                      <w:color w:val="auto"/>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符合环保要求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90" w:hRule="atLeast"/>
              </w:trPr>
              <w:tc>
                <w:tcPr>
                  <w:tcW w:w="2202" w:type="dxa"/>
                  <w:vAlign w:val="center"/>
                </w:tcPr>
                <w:p>
                  <w:pPr>
                    <w:widowControl w:val="0"/>
                    <w:spacing w:line="240" w:lineRule="auto"/>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高效滤袋除尘器+15m排气筒</w:t>
                  </w:r>
                </w:p>
              </w:tc>
              <w:tc>
                <w:tcPr>
                  <w:tcW w:w="1676" w:type="dxa"/>
                  <w:vAlign w:val="center"/>
                </w:tcPr>
                <w:p>
                  <w:pPr>
                    <w:pStyle w:val="2"/>
                    <w:widowControl w:val="0"/>
                    <w:spacing w:before="0" w:beforeLines="0" w:after="0" w:afterLines="0" w:line="240" w:lineRule="auto"/>
                    <w:jc w:val="center"/>
                    <w:outlineLvl w:val="1"/>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bCs w:val="0"/>
                      <w:color w:val="auto"/>
                      <w:sz w:val="21"/>
                      <w:szCs w:val="21"/>
                      <w:vertAlign w:val="baseline"/>
                      <w:lang w:val="en-US" w:eastAsia="zh-CN"/>
                    </w:rPr>
                    <w:t>2套</w:t>
                  </w:r>
                </w:p>
              </w:tc>
              <w:tc>
                <w:tcPr>
                  <w:tcW w:w="2195" w:type="dxa"/>
                  <w:tcBorders>
                    <w:right w:val="single" w:color="000000" w:sz="4" w:space="0"/>
                  </w:tcBorders>
                  <w:vAlign w:val="center"/>
                </w:tcPr>
                <w:p>
                  <w:pPr>
                    <w:widowControl w:val="0"/>
                    <w:spacing w:line="240" w:lineRule="auto"/>
                    <w:jc w:val="center"/>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设备自带正压式布袋</w:t>
                  </w:r>
                  <w:r>
                    <w:rPr>
                      <w:rFonts w:hint="default" w:ascii="Times New Roman" w:hAnsi="Times New Roman" w:cs="Times New Roman"/>
                      <w:b w:val="0"/>
                      <w:bCs w:val="0"/>
                      <w:color w:val="auto"/>
                      <w:sz w:val="21"/>
                      <w:szCs w:val="21"/>
                      <w:vertAlign w:val="baseline"/>
                      <w:lang w:val="en-US" w:eastAsia="zh-CN"/>
                    </w:rPr>
                    <w:t>+密闭收尘房+封闭生产搅拌楼</w:t>
                  </w:r>
                </w:p>
              </w:tc>
              <w:tc>
                <w:tcPr>
                  <w:tcW w:w="1185" w:type="dxa"/>
                  <w:tcBorders>
                    <w:left w:val="single" w:color="000000" w:sz="4" w:space="0"/>
                  </w:tcBorders>
                  <w:vAlign w:val="center"/>
                </w:tcPr>
                <w:p>
                  <w:pPr>
                    <w:pStyle w:val="2"/>
                    <w:widowControl w:val="0"/>
                    <w:spacing w:before="0" w:beforeLines="0" w:after="0" w:afterLines="0" w:line="240" w:lineRule="auto"/>
                    <w:jc w:val="center"/>
                    <w:outlineLvl w:val="1"/>
                    <w:rPr>
                      <w:rFonts w:hint="default" w:ascii="Times New Roman" w:hAnsi="Times New Roman" w:cs="Times New Roman"/>
                      <w:b w:val="0"/>
                      <w:color w:val="auto"/>
                      <w:sz w:val="21"/>
                      <w:szCs w:val="21"/>
                      <w:lang w:val="en-US" w:eastAsia="zh-CN"/>
                    </w:rPr>
                  </w:pPr>
                  <w:r>
                    <w:rPr>
                      <w:rFonts w:hint="eastAsia" w:cs="Times New Roman"/>
                      <w:b w:val="0"/>
                      <w:color w:val="auto"/>
                      <w:sz w:val="21"/>
                      <w:szCs w:val="21"/>
                      <w:lang w:val="en-US" w:eastAsia="zh-CN"/>
                    </w:rPr>
                    <w:t>1套</w:t>
                  </w:r>
                </w:p>
              </w:tc>
              <w:tc>
                <w:tcPr>
                  <w:tcW w:w="1554" w:type="dxa"/>
                  <w:vAlign w:val="center"/>
                </w:tcPr>
                <w:p>
                  <w:pPr>
                    <w:pStyle w:val="2"/>
                    <w:widowControl w:val="0"/>
                    <w:spacing w:before="0" w:beforeLines="0" w:after="0" w:afterLines="0" w:line="240" w:lineRule="auto"/>
                    <w:jc w:val="center"/>
                    <w:outlineLvl w:val="1"/>
                    <w:rPr>
                      <w:rFonts w:hint="default" w:ascii="Times New Roman" w:hAnsi="Times New Roman" w:cs="Times New Roman"/>
                      <w:b w:val="0"/>
                      <w:color w:val="auto"/>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符合环保要求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90" w:hRule="atLeast"/>
              </w:trPr>
              <w:tc>
                <w:tcPr>
                  <w:tcW w:w="2202" w:type="dxa"/>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静电式油烟净化器</w:t>
                  </w:r>
                </w:p>
              </w:tc>
              <w:tc>
                <w:tcPr>
                  <w:tcW w:w="1676" w:type="dxa"/>
                  <w:vAlign w:val="center"/>
                </w:tcPr>
                <w:p>
                  <w:pPr>
                    <w:pStyle w:val="2"/>
                    <w:widowControl w:val="0"/>
                    <w:spacing w:before="0" w:beforeLines="0" w:after="0" w:afterLines="0" w:line="240" w:lineRule="auto"/>
                    <w:jc w:val="center"/>
                    <w:outlineLvl w:val="1"/>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1套</w:t>
                  </w:r>
                </w:p>
              </w:tc>
              <w:tc>
                <w:tcPr>
                  <w:tcW w:w="2195" w:type="dxa"/>
                  <w:tcBorders>
                    <w:right w:val="single" w:color="000000" w:sz="4" w:space="0"/>
                  </w:tcBorders>
                  <w:vAlign w:val="center"/>
                </w:tcPr>
                <w:p>
                  <w:pPr>
                    <w:widowControl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静电式油烟净化器</w:t>
                  </w:r>
                </w:p>
              </w:tc>
              <w:tc>
                <w:tcPr>
                  <w:tcW w:w="1185" w:type="dxa"/>
                  <w:tcBorders>
                    <w:left w:val="single" w:color="000000" w:sz="4" w:space="0"/>
                  </w:tcBorders>
                  <w:vAlign w:val="center"/>
                </w:tcPr>
                <w:p>
                  <w:pPr>
                    <w:pStyle w:val="2"/>
                    <w:widowControl w:val="0"/>
                    <w:spacing w:before="0" w:beforeLines="0" w:after="0" w:afterLines="0" w:line="240" w:lineRule="auto"/>
                    <w:jc w:val="center"/>
                    <w:outlineLvl w:val="1"/>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1套</w:t>
                  </w:r>
                </w:p>
              </w:tc>
              <w:tc>
                <w:tcPr>
                  <w:tcW w:w="1554" w:type="dxa"/>
                  <w:vAlign w:val="center"/>
                </w:tcPr>
                <w:p>
                  <w:pPr>
                    <w:pStyle w:val="2"/>
                    <w:widowControl w:val="0"/>
                    <w:spacing w:before="0" w:beforeLines="0" w:after="0" w:afterLines="0" w:line="240" w:lineRule="auto"/>
                    <w:jc w:val="center"/>
                    <w:outlineLvl w:val="1"/>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一致</w:t>
                  </w:r>
                </w:p>
              </w:tc>
            </w:tr>
          </w:tbl>
          <w:p>
            <w:pPr>
              <w:outlineLvl w:val="0"/>
              <w:rPr>
                <w:rFonts w:hint="default" w:ascii="Times New Roman" w:hAnsi="Times New Roman" w:cs="Times New Roman"/>
                <w:b/>
                <w:color w:val="auto"/>
                <w:szCs w:val="24"/>
              </w:rPr>
            </w:pPr>
            <w:r>
              <w:rPr>
                <w:rFonts w:hint="default" w:ascii="Times New Roman" w:hAnsi="Times New Roman" w:cs="Times New Roman"/>
                <w:b/>
                <w:color w:val="auto"/>
                <w:szCs w:val="24"/>
              </w:rPr>
              <w:t>4、工程变动情况</w:t>
            </w:r>
          </w:p>
          <w:p>
            <w:pPr>
              <w:widowControl/>
              <w:tabs>
                <w:tab w:val="left" w:pos="7380"/>
              </w:tabs>
              <w:adjustRightInd w:val="0"/>
              <w:snapToGrid w:val="0"/>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项目建设地点、性质、设计规模、工艺</w:t>
            </w:r>
            <w:r>
              <w:rPr>
                <w:rFonts w:hint="eastAsia" w:ascii="Times New Roman" w:hAnsi="Times New Roman"/>
                <w:color w:val="auto"/>
                <w:sz w:val="24"/>
                <w:lang w:eastAsia="zh-CN"/>
              </w:rPr>
              <w:t>、</w:t>
            </w:r>
            <w:r>
              <w:rPr>
                <w:rFonts w:hint="eastAsia" w:ascii="Times New Roman" w:hAnsi="Times New Roman"/>
                <w:color w:val="auto"/>
                <w:sz w:val="24"/>
              </w:rPr>
              <w:t>主要污染防治设施均未发生变化，混凝土搅拌机进料粉尘处理方式由高效滤袋除尘器（共2套）+15m排气筒变动为</w:t>
            </w:r>
            <w:r>
              <w:rPr>
                <w:rFonts w:hint="eastAsia" w:ascii="Times New Roman" w:hAnsi="Times New Roman"/>
                <w:color w:val="auto"/>
                <w:sz w:val="24"/>
                <w:lang w:eastAsia="zh-CN"/>
              </w:rPr>
              <w:t>设备自带正压式布袋</w:t>
            </w:r>
            <w:r>
              <w:rPr>
                <w:rFonts w:hint="eastAsia" w:ascii="Times New Roman" w:hAnsi="Times New Roman"/>
                <w:color w:val="auto"/>
                <w:sz w:val="24"/>
              </w:rPr>
              <w:t>+密闭收尘房+封闭生产搅拌楼，变更后无组织粉尘排放达标。现场增加1台多分离旱地筛砂机、1台砂石分离机；三级沉淀池变为强制搅拌池，清洗水、底泥均回用于生产，不外排。变更后总产能不变，对不利环境影响减轻，对照环办2015年52号文和环办环评〔2018〕6号，项目变动不属于重大变动。项目变动符合《建设项目竣工环境保护验收暂行办法》，满足竣工验收条件。</w:t>
            </w:r>
          </w:p>
          <w:p>
            <w:pPr>
              <w:outlineLvl w:val="0"/>
              <w:rPr>
                <w:rFonts w:hint="default" w:ascii="Times New Roman" w:hAnsi="Times New Roman" w:cs="Times New Roman"/>
                <w:b/>
                <w:color w:val="auto"/>
                <w:szCs w:val="24"/>
              </w:rPr>
            </w:pPr>
          </w:p>
          <w:p>
            <w:pPr>
              <w:outlineLvl w:val="0"/>
              <w:rPr>
                <w:rFonts w:hint="default" w:ascii="Times New Roman" w:hAnsi="Times New Roman" w:cs="Times New Roman"/>
                <w:b/>
                <w:color w:val="auto"/>
                <w:szCs w:val="24"/>
              </w:rPr>
            </w:pPr>
            <w:r>
              <w:rPr>
                <w:rFonts w:hint="default" w:ascii="Times New Roman" w:hAnsi="Times New Roman" w:cs="Times New Roman"/>
                <w:b/>
                <w:color w:val="auto"/>
                <w:szCs w:val="24"/>
              </w:rPr>
              <w:t>5、验收范围</w:t>
            </w:r>
          </w:p>
          <w:p>
            <w:pPr>
              <w:ind w:firstLine="482" w:firstLineChars="200"/>
              <w:outlineLvl w:val="0"/>
              <w:rPr>
                <w:rFonts w:hint="default" w:ascii="Times New Roman" w:hAnsi="Times New Roman" w:cs="Times New Roman"/>
                <w:color w:val="auto"/>
                <w:sz w:val="24"/>
                <w:szCs w:val="24"/>
                <w:lang w:val="en-US" w:eastAsia="zh-CN"/>
              </w:rPr>
            </w:pPr>
            <w:r>
              <w:rPr>
                <w:rFonts w:hint="default" w:ascii="Times New Roman" w:hAnsi="Times New Roman" w:cs="Times New Roman"/>
                <w:b/>
                <w:color w:val="auto"/>
                <w:szCs w:val="24"/>
              </w:rPr>
              <w:t>本次对项目建成的</w:t>
            </w:r>
            <w:r>
              <w:rPr>
                <w:rFonts w:hint="default" w:ascii="Times New Roman" w:hAnsi="Times New Roman" w:cs="Times New Roman"/>
                <w:b/>
                <w:color w:val="auto"/>
                <w:szCs w:val="24"/>
                <w:lang w:eastAsia="zh-CN"/>
              </w:rPr>
              <w:t>年产经营30万立法米预拌混凝土项目</w:t>
            </w:r>
            <w:r>
              <w:rPr>
                <w:rFonts w:hint="default" w:ascii="Times New Roman" w:hAnsi="Times New Roman" w:cs="Times New Roman"/>
                <w:b/>
                <w:color w:val="auto"/>
                <w:szCs w:val="24"/>
              </w:rPr>
              <w:t>配套的</w:t>
            </w:r>
            <w:r>
              <w:rPr>
                <w:rFonts w:hint="default" w:ascii="Times New Roman" w:hAnsi="Times New Roman" w:cs="Times New Roman"/>
                <w:b/>
                <w:color w:val="auto"/>
                <w:szCs w:val="24"/>
                <w:lang w:eastAsia="zh-CN"/>
              </w:rPr>
              <w:t>固废</w:t>
            </w:r>
            <w:r>
              <w:rPr>
                <w:rFonts w:hint="default" w:ascii="Times New Roman" w:hAnsi="Times New Roman" w:cs="Times New Roman"/>
                <w:b/>
                <w:color w:val="auto"/>
                <w:szCs w:val="24"/>
              </w:rPr>
              <w:t>污染防治设施进行竣工环境保护验收。</w:t>
            </w:r>
          </w:p>
        </w:tc>
      </w:tr>
    </w:tbl>
    <w:p>
      <w:pPr>
        <w:jc w:val="center"/>
        <w:rPr>
          <w:rFonts w:hint="default" w:ascii="Times New Roman" w:hAnsi="Times New Roman" w:cs="Times New Roman"/>
          <w:b/>
          <w:bCs/>
          <w:color w:val="auto"/>
          <w:szCs w:val="24"/>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docGrid w:linePitch="360" w:charSpace="0"/>
        </w:sectPr>
      </w:pPr>
    </w:p>
    <w:p>
      <w:pPr>
        <w:pStyle w:val="2"/>
        <w:rPr>
          <w:rFonts w:hint="default" w:ascii="Times New Roman" w:hAnsi="Times New Roman" w:cs="Times New Roman"/>
          <w:color w:val="auto"/>
        </w:rPr>
        <w:sectPr>
          <w:type w:val="continuous"/>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jc w:val="center"/>
        <w:rPr>
          <w:rFonts w:hint="default" w:ascii="Times New Roman" w:hAnsi="Times New Roman" w:cs="Times New Roman"/>
          <w:color w:val="auto"/>
        </w:rPr>
      </w:pPr>
      <w:r>
        <w:rPr>
          <w:rFonts w:hint="default" w:ascii="Times New Roman" w:hAnsi="Times New Roman" w:cs="Times New Roman"/>
          <w:color w:val="auto"/>
        </w:rPr>
        <w:drawing>
          <wp:anchor distT="0" distB="0" distL="114300" distR="114300" simplePos="0" relativeHeight="251678720" behindDoc="0" locked="0" layoutInCell="1" allowOverlap="1">
            <wp:simplePos x="0" y="0"/>
            <wp:positionH relativeFrom="column">
              <wp:posOffset>8067040</wp:posOffset>
            </wp:positionH>
            <wp:positionV relativeFrom="paragraph">
              <wp:posOffset>-21590</wp:posOffset>
            </wp:positionV>
            <wp:extent cx="914400" cy="633095"/>
            <wp:effectExtent l="0" t="0" r="0" b="14605"/>
            <wp:wrapNone/>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5"/>
                    <a:stretch>
                      <a:fillRect/>
                    </a:stretch>
                  </pic:blipFill>
                  <pic:spPr>
                    <a:xfrm>
                      <a:off x="0" y="0"/>
                      <a:ext cx="914400" cy="633095"/>
                    </a:xfrm>
                    <a:prstGeom prst="rect">
                      <a:avLst/>
                    </a:prstGeom>
                    <a:noFill/>
                    <a:ln>
                      <a:noFill/>
                    </a:ln>
                  </pic:spPr>
                </pic:pic>
              </a:graphicData>
            </a:graphic>
          </wp:anchor>
        </w:drawing>
      </w:r>
      <w:r>
        <w:rPr>
          <w:rFonts w:hint="default" w:ascii="Times New Roman" w:hAnsi="Times New Roman" w:cs="Times New Roman"/>
          <w:b/>
          <w:color w:val="auto"/>
          <w:kern w:val="2"/>
          <w:szCs w:val="24"/>
        </w:rPr>
        <mc:AlternateContent>
          <mc:Choice Requires="wps">
            <w:drawing>
              <wp:anchor distT="0" distB="0" distL="114300" distR="114300" simplePos="0" relativeHeight="251634688" behindDoc="0" locked="0" layoutInCell="1" allowOverlap="1">
                <wp:simplePos x="0" y="0"/>
                <wp:positionH relativeFrom="column">
                  <wp:posOffset>6988810</wp:posOffset>
                </wp:positionH>
                <wp:positionV relativeFrom="paragraph">
                  <wp:posOffset>844550</wp:posOffset>
                </wp:positionV>
                <wp:extent cx="1038225" cy="297180"/>
                <wp:effectExtent l="4445" t="4445" r="252730" b="346075"/>
                <wp:wrapNone/>
                <wp:docPr id="73" name="自选图形 36"/>
                <wp:cNvGraphicFramePr/>
                <a:graphic xmlns:a="http://schemas.openxmlformats.org/drawingml/2006/main">
                  <a:graphicData uri="http://schemas.microsoft.com/office/word/2010/wordprocessingShape">
                    <wps:wsp>
                      <wps:cNvSpPr>
                        <a:spLocks noChangeArrowheads="1"/>
                      </wps:cNvSpPr>
                      <wps:spPr bwMode="auto">
                        <a:xfrm>
                          <a:off x="0" y="0"/>
                          <a:ext cx="1038225" cy="297180"/>
                        </a:xfrm>
                        <a:prstGeom prst="wedgeRectCallout">
                          <a:avLst>
                            <a:gd name="adj1" fmla="val 70550"/>
                            <a:gd name="adj2" fmla="val 153632"/>
                          </a:avLst>
                        </a:prstGeom>
                        <a:noFill/>
                        <a:ln w="9525">
                          <a:solidFill>
                            <a:srgbClr val="FF0000"/>
                          </a:solidFill>
                          <a:miter lim="800000"/>
                        </a:ln>
                      </wps:spPr>
                      <wps:txbx>
                        <w:txbxContent>
                          <w:p>
                            <w:pPr>
                              <w:rPr>
                                <w:color w:val="FF0000"/>
                              </w:rPr>
                            </w:pPr>
                            <w:r>
                              <w:rPr>
                                <w:rFonts w:hint="eastAsia"/>
                                <w:color w:val="FF0000"/>
                              </w:rPr>
                              <w:t>项目所在地</w:t>
                            </w:r>
                          </w:p>
                        </w:txbxContent>
                      </wps:txbx>
                      <wps:bodyPr rot="0" vert="horz" wrap="square" lIns="91440" tIns="45720" rIns="91440" bIns="45720" anchor="t" anchorCtr="0" upright="1">
                        <a:noAutofit/>
                      </wps:bodyPr>
                    </wps:wsp>
                  </a:graphicData>
                </a:graphic>
              </wp:anchor>
            </w:drawing>
          </mc:Choice>
          <mc:Fallback>
            <w:pict>
              <v:shape id="自选图形 36" o:spid="_x0000_s1026" o:spt="61" type="#_x0000_t61" style="position:absolute;left:0pt;margin-left:550.3pt;margin-top:66.5pt;height:23.4pt;width:81.75pt;z-index:251634688;mso-width-relative:page;mso-height-relative:page;" filled="f" stroked="t" coordsize="21600,21600" o:gfxdata="UEsDBAoAAAAAAIdO4kAAAAAAAAAAAAAAAAAEAAAAZHJzL1BLAwQUAAAACACHTuJAtB8l09gAAAAN&#10;AQAADwAAAGRycy9kb3ducmV2LnhtbE2PzU7DMBCE70i8g7VI3KiTFJU0jVNRpNy40ALq0Y23iUu8&#10;jmL37+3ZnuA2ox3NflMuL64XJxyD9aQgnSQgkBpvLLUKPjf1Uw4iRE1G955QwRUDLKv7u1IXxp/p&#10;A0/r2AouoVBoBV2MQyFlaDp0Okz8gMS3vR+djmzHVppRn7nc9TJLkpl02hJ/6PSAbx02P+ujU2Aw&#10;+1rV9WGbz1/t6hCvzffWviv1+JAmCxARL/EvDDd8RoeKmXb+SCaInn3K9ZxlNZ3yqlskmz2nIHas&#10;XuY5yKqU/1dUv1BLAwQUAAAACACHTuJAJSdz4lMCAABpBAAADgAAAGRycy9lMm9Eb2MueG1srVTN&#10;bhMxEL4j8Q6W73R/0jTJqpuqShWEVKCi8ACO7d01eD3GdrIpp94Qz8CNI+8Ab1MJ3oJZZ1NSuCFy&#10;sDw7429mvm8mp2fbVpONdF6BKWl2lFIiDQehTF3SN6+XT6aU+MCMYBqMLOmN9PRs/vjRaWcLmUMD&#10;WkhHEMT4orMlbUKwRZJ43siW+SOw0qCzAteygKarE+FYh+itTvI0PUk6cMI64NJ7/Hqxc9J5xK8q&#10;ycPLqvIyEF1SrC3E08Vz1Z/J/JQVtWO2UXwog/1DFS1TBpPeQ12wwMjaqb+gWsUdeKjCEYc2gapS&#10;XMYesJss/aOb64ZZGXtBcry9p8n/P1j+YnPliBIlnYwoMaxFjX58/Prz9tPd5+93376Q0UnPUWd9&#10;gaHX9sr1XXp7CfydJwYWDTO1PHcOukYygZVlfXzy4EFveHxKVt1zEJiBrQNEuraVa3tAJIJsoyo3&#10;96rIbSAcP2bpaJrnY0o4+vLZJJtG2RJW7F9b58NTCS3pLyXtpKjlK5R+wbSGdYiZ2ObSh6iQGNpk&#10;4m1GSdVqFHzDNJmk4/F+IA5i8sOYbDw6GeWxQ1YMkFjIvoAe38BSaR3nShvSlXQ2xuIja6CV6J3R&#10;cPVqoR3BzCVdLlP8DbD+MKxVAfdDq7ak0z5mH6TNQHLP606fsF1tB6lWIG6Qbge7ecf9xEsD7gMl&#10;Hc56Sf37NXOSEv3MoGSz7Pi4X45oHI8nORru0LM69DDDEaqkgZLddRF2C7W2TtUNZspiuwbOUeZK&#10;hf087Koa6sZ5xtuDhTm0Y9Tvf4j5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QfJdPYAAAADQEA&#10;AA8AAAAAAAAAAQAgAAAAIgAAAGRycy9kb3ducmV2LnhtbFBLAQIUABQAAAAIAIdO4kAlJ3PiUwIA&#10;AGkEAAAOAAAAAAAAAAEAIAAAACcBAABkcnMvZTJvRG9jLnhtbFBLBQYAAAAABgAGAFkBAADsBQAA&#10;AAA=&#10;" adj="26039,43985">
                <v:fill on="f" focussize="0,0"/>
                <v:stroke color="#FF0000" miterlimit="8" joinstyle="miter"/>
                <v:imagedata o:title=""/>
                <o:lock v:ext="edit" aspectratio="f"/>
                <v:textbox>
                  <w:txbxContent>
                    <w:p>
                      <w:pPr>
                        <w:rPr>
                          <w:color w:val="FF0000"/>
                        </w:rPr>
                      </w:pPr>
                      <w:r>
                        <w:rPr>
                          <w:rFonts w:hint="eastAsia"/>
                          <w:color w:val="FF0000"/>
                        </w:rPr>
                        <w:t>项目所在地</w:t>
                      </w:r>
                    </w:p>
                  </w:txbxContent>
                </v:textbox>
              </v:shape>
            </w:pict>
          </mc:Fallback>
        </mc:AlternateContent>
      </w:r>
      <w:r>
        <w:rPr>
          <w:rFonts w:hint="default" w:ascii="Times New Roman" w:hAnsi="Times New Roman" w:cs="Times New Roman"/>
          <w:b/>
          <w:color w:val="auto"/>
          <w:kern w:val="2"/>
          <w:szCs w:val="24"/>
        </w:rPr>
        <mc:AlternateContent>
          <mc:Choice Requires="wps">
            <w:drawing>
              <wp:anchor distT="0" distB="0" distL="114300" distR="114300" simplePos="0" relativeHeight="251633664" behindDoc="0" locked="0" layoutInCell="1" allowOverlap="1">
                <wp:simplePos x="0" y="0"/>
                <wp:positionH relativeFrom="column">
                  <wp:posOffset>8204835</wp:posOffset>
                </wp:positionH>
                <wp:positionV relativeFrom="paragraph">
                  <wp:posOffset>1414145</wp:posOffset>
                </wp:positionV>
                <wp:extent cx="114300" cy="99060"/>
                <wp:effectExtent l="9525" t="10795" r="9525" b="13970"/>
                <wp:wrapNone/>
                <wp:docPr id="72" name="椭圆 35"/>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ellipse">
                          <a:avLst/>
                        </a:prstGeom>
                        <a:solidFill>
                          <a:srgbClr val="FF0000"/>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椭圆 35" o:spid="_x0000_s1026" o:spt="3" type="#_x0000_t3" style="position:absolute;left:0pt;margin-left:646.05pt;margin-top:111.35pt;height:7.8pt;width:9pt;z-index:251633664;mso-width-relative:page;mso-height-relative:page;" fillcolor="#FF0000" filled="t" stroked="t" coordsize="21600,21600" o:gfxdata="UEsDBAoAAAAAAIdO4kAAAAAAAAAAAAAAAAAEAAAAZHJzL1BLAwQUAAAACACHTuJAM9uco9kAAAAN&#10;AQAADwAAAGRycy9kb3ducmV2LnhtbE2PS0/DMBCE70j8B2uRuFE7DqIlxOmhEhx4HEi5cHNjk0TY&#10;68h2+vj3bE/0OLOfZmfq9dE7trcxjQEVFAsBzGIXzIi9gq/t890KWMoajXYBrYKTTbBurq9qXZlw&#10;wE+7b3PPKARTpRUMOU8V56kbrNdpESaLdPsJ0etMMvbcRH2gcO+4FOKBez0ifRj0ZDeD7X7b2VPK&#10;+/zyumxL5Pfu4y1+b1N52nRK3d4U4glYtsf8D8O5PlWHhjrtwowmMUdaPsqCWAVSyiWwM1IWgqwd&#10;WeWqBN7U/HJF8wdQSwMEFAAAAAgAh07iQMTJX04WAgAAFwQAAA4AAABkcnMvZTJvRG9jLnhtbK1T&#10;wY7TMBC9I/EPlu80SbfdpVHT1aqrIqQFVlr4ANdxGgvHY8Zu0+UD+AqOe+Wz4DsYO93SBU6IHCxP&#10;Zvz83pvx/HLfGbZT6DXYihejnDNlJdTabir+4f3qxUvOfBC2Fgasqvi98vxy8fzZvHelGkMLplbI&#10;CMT6sncVb0NwZZZ52apO+BE4ZSnZAHYiUIibrEbRE3pnsnGen2c9YO0QpPKe/l4PSb5I+E2jZHjX&#10;NF4FZipO3EJaMa3ruGaLuSg3KFyr5YGG+AcWndCWLj1CXYsg2Bb1H1CdlggemjCS0GXQNFqqpIHU&#10;FPlvau5a4VTSQuZ4d7TJ/z9Y+XZ3i0zXFb8Yc2ZFRz368fDt+9cv7Gwa3emdL6nozt1i1OfdDciP&#10;nllYtsJu1BUi9K0SNXEqYn325EAMPB1l6/4N1IQttgGSUfsGuwhIFrB96sf9sR9qH5ikn0UxOcup&#10;a5JSs1l+ntqVifLxrEMfXinoWNxUXBmjnY+GiVLsbnyIdET5WJXog9H1ShuTAtyslwbZTtBwrFY5&#10;fUkBqTwtM5b1dP90PE3IT3L+FCIC/B0CYWvrgY2xB4+iLYO9a6jvySKEYTrpNdGmBfzMWU+TWXH/&#10;aStQcWZeW7J5VkwmcZRTMJlejCnA08z6NCOsJKiKB86G7TIM4791qDct3VQkWRauqDWNTqbFtg2s&#10;DmRp+pKXh5cSx/s0TlW/3vPi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PbnKPZAAAADQEAAA8A&#10;AAAAAAAAAQAgAAAAIgAAAGRycy9kb3ducmV2LnhtbFBLAQIUABQAAAAIAIdO4kDEyV9OFgIAABcE&#10;AAAOAAAAAAAAAAEAIAAAACgBAABkcnMvZTJvRG9jLnhtbFBLBQYAAAAABgAGAFkBAACwBQAAAAA=&#10;">
                <v:fill on="t" focussize="0,0"/>
                <v:stroke color="#000000" joinstyle="round"/>
                <v:imagedata o:title=""/>
                <o:lock v:ext="edit" aspectratio="f"/>
              </v:shape>
            </w:pict>
          </mc:Fallback>
        </mc:AlternateContent>
      </w:r>
      <w:r>
        <w:rPr>
          <w:rFonts w:hint="default" w:ascii="Times New Roman" w:hAnsi="Times New Roman" w:eastAsia="宋体" w:cs="Times New Roman"/>
          <w:b/>
          <w:color w:val="auto"/>
          <w:kern w:val="2"/>
          <w:szCs w:val="24"/>
          <w:lang w:eastAsia="zh-CN"/>
        </w:rPr>
        <w:drawing>
          <wp:inline distT="0" distB="0" distL="114300" distR="114300">
            <wp:extent cx="8996045" cy="4589780"/>
            <wp:effectExtent l="0" t="0" r="14605" b="1270"/>
            <wp:docPr id="32" name="图片 32" descr="bc9f2e017ee1cddc08daa7c55bbd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c9f2e017ee1cddc08daa7c55bbd498"/>
                    <pic:cNvPicPr>
                      <a:picLocks noChangeAspect="1"/>
                    </pic:cNvPicPr>
                  </pic:nvPicPr>
                  <pic:blipFill>
                    <a:blip r:embed="rId6"/>
                    <a:srcRect t="472" r="489" b="26931"/>
                    <a:stretch>
                      <a:fillRect/>
                    </a:stretch>
                  </pic:blipFill>
                  <pic:spPr>
                    <a:xfrm>
                      <a:off x="0" y="0"/>
                      <a:ext cx="8996045" cy="4589780"/>
                    </a:xfrm>
                    <a:prstGeom prst="rect">
                      <a:avLst/>
                    </a:prstGeom>
                  </pic:spPr>
                </pic:pic>
              </a:graphicData>
            </a:graphic>
          </wp:inline>
        </w:drawing>
      </w:r>
    </w:p>
    <w:p>
      <w:pPr>
        <w:ind w:firstLine="441" w:firstLineChars="183"/>
        <w:jc w:val="center"/>
        <w:rPr>
          <w:rFonts w:hint="default" w:ascii="Times New Roman" w:hAnsi="Times New Roman" w:cs="Times New Roman"/>
          <w:b/>
          <w:bCs/>
          <w:color w:val="auto"/>
          <w:szCs w:val="24"/>
        </w:rPr>
      </w:pPr>
      <w:r>
        <w:rPr>
          <w:rFonts w:hint="default" w:ascii="Times New Roman" w:hAnsi="Times New Roman" w:cs="Times New Roman"/>
          <w:b/>
          <w:bCs/>
          <w:color w:val="auto"/>
          <w:szCs w:val="24"/>
        </w:rPr>
        <w:t>图2.1    本项目地理位置图</w:t>
      </w:r>
    </w:p>
    <w:p>
      <w:pPr>
        <w:pStyle w:val="2"/>
        <w:spacing w:before="120" w:after="120"/>
        <w:jc w:val="both"/>
        <w:rPr>
          <w:rFonts w:hint="default" w:ascii="Times New Roman" w:hAnsi="Times New Roman" w:cs="Times New Roman"/>
          <w:color w:val="auto"/>
        </w:rPr>
        <w:sectPr>
          <w:pgSz w:w="16838" w:h="11906" w:orient="landscape"/>
          <w:pgMar w:top="1800" w:right="1440" w:bottom="1800" w:left="1440" w:header="708" w:footer="708" w:gutter="0"/>
          <w:pgBorders>
            <w:top w:val="none" w:sz="0" w:space="0"/>
            <w:left w:val="none" w:sz="0" w:space="0"/>
            <w:bottom w:val="none" w:sz="0" w:space="0"/>
            <w:right w:val="none" w:sz="0" w:space="0"/>
          </w:pgBorders>
          <w:pgNumType w:fmt="decimal"/>
          <w:cols w:space="720" w:num="1"/>
          <w:docGrid w:linePitch="360" w:charSpace="0"/>
        </w:sectPr>
      </w:pPr>
    </w:p>
    <w:p>
      <w:pPr>
        <w:jc w:val="center"/>
        <w:rPr>
          <w:rFonts w:hint="default" w:ascii="Times New Roman" w:hAnsi="Times New Roman" w:cs="Times New Roman"/>
          <w:color w:val="auto"/>
        </w:rPr>
      </w:pPr>
      <w:r>
        <w:rPr>
          <w:rFonts w:hint="default" w:ascii="Times New Roman" w:hAnsi="Times New Roman" w:cs="Times New Roman"/>
          <w:color w:val="auto"/>
        </w:rPr>
        <w:drawing>
          <wp:anchor distT="0" distB="0" distL="114300" distR="114300" simplePos="0" relativeHeight="251679744" behindDoc="0" locked="0" layoutInCell="1" allowOverlap="1">
            <wp:simplePos x="0" y="0"/>
            <wp:positionH relativeFrom="column">
              <wp:posOffset>7385685</wp:posOffset>
            </wp:positionH>
            <wp:positionV relativeFrom="paragraph">
              <wp:posOffset>22860</wp:posOffset>
            </wp:positionV>
            <wp:extent cx="914400" cy="633095"/>
            <wp:effectExtent l="0" t="0" r="0" b="14605"/>
            <wp:wrapNone/>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5"/>
                    <a:stretch>
                      <a:fillRect/>
                    </a:stretch>
                  </pic:blipFill>
                  <pic:spPr>
                    <a:xfrm>
                      <a:off x="0" y="0"/>
                      <a:ext cx="914400" cy="633095"/>
                    </a:xfrm>
                    <a:prstGeom prst="rect">
                      <a:avLst/>
                    </a:prstGeom>
                    <a:noFill/>
                    <a:ln>
                      <a:noFill/>
                    </a:ln>
                  </pic:spPr>
                </pic:pic>
              </a:graphicData>
            </a:graphic>
          </wp:anchor>
        </w:drawing>
      </w:r>
      <w:r>
        <w:rPr>
          <w:rFonts w:hint="default" w:ascii="Times New Roman" w:hAnsi="Times New Roman" w:cs="Times New Roman"/>
          <w:color w:val="auto"/>
        </w:rPr>
        <mc:AlternateContent>
          <mc:Choice Requires="wps">
            <w:drawing>
              <wp:anchor distT="0" distB="0" distL="114300" distR="114300" simplePos="0" relativeHeight="251657216" behindDoc="0" locked="0" layoutInCell="1" allowOverlap="1">
                <wp:simplePos x="0" y="0"/>
                <wp:positionH relativeFrom="column">
                  <wp:posOffset>3743325</wp:posOffset>
                </wp:positionH>
                <wp:positionV relativeFrom="paragraph">
                  <wp:posOffset>-3676650</wp:posOffset>
                </wp:positionV>
                <wp:extent cx="666750" cy="285750"/>
                <wp:effectExtent l="0" t="0" r="0" b="0"/>
                <wp:wrapNone/>
                <wp:docPr id="71" name="Rectangle 125"/>
                <wp:cNvGraphicFramePr/>
                <a:graphic xmlns:a="http://schemas.openxmlformats.org/drawingml/2006/main">
                  <a:graphicData uri="http://schemas.microsoft.com/office/word/2010/wordprocessingShape">
                    <wps:wsp>
                      <wps:cNvSpPr>
                        <a:spLocks noChangeArrowheads="1"/>
                      </wps:cNvSpPr>
                      <wps:spPr bwMode="auto">
                        <a:xfrm>
                          <a:off x="0" y="0"/>
                          <a:ext cx="666750" cy="285750"/>
                        </a:xfrm>
                        <a:prstGeom prst="rect">
                          <a:avLst/>
                        </a:prstGeom>
                        <a:noFill/>
                        <a:ln>
                          <a:noFill/>
                        </a:ln>
                      </wps:spPr>
                      <wps:txbx>
                        <w:txbxContent>
                          <w:p>
                            <w:pPr>
                              <w:rPr>
                                <w:color w:val="000000"/>
                                <w:sz w:val="21"/>
                                <w:szCs w:val="21"/>
                              </w:rPr>
                            </w:pPr>
                            <w:r>
                              <w:rPr>
                                <w:rFonts w:hint="eastAsia"/>
                                <w:color w:val="000000"/>
                                <w:sz w:val="21"/>
                                <w:szCs w:val="21"/>
                              </w:rPr>
                              <w:t>花椒地</w:t>
                            </w:r>
                          </w:p>
                        </w:txbxContent>
                      </wps:txbx>
                      <wps:bodyPr rot="0" vert="horz" wrap="square" lIns="91440" tIns="45720" rIns="91440" bIns="45720" anchor="t" anchorCtr="0" upright="1">
                        <a:noAutofit/>
                      </wps:bodyPr>
                    </wps:wsp>
                  </a:graphicData>
                </a:graphic>
              </wp:anchor>
            </w:drawing>
          </mc:Choice>
          <mc:Fallback>
            <w:pict>
              <v:rect id="Rectangle 125" o:spid="_x0000_s1026" o:spt="1" style="position:absolute;left:0pt;margin-left:294.75pt;margin-top:-289.5pt;height:22.5pt;width:52.5pt;z-index:251657216;mso-width-relative:page;mso-height-relative:page;" filled="f" stroked="f" coordsize="21600,21600" o:gfxdata="UEsDBAoAAAAAAIdO4kAAAAAAAAAAAAAAAAAEAAAAZHJzL1BLAwQUAAAACACHTuJAizqHc9wAAAAN&#10;AQAADwAAAGRycy9kb3ducmV2LnhtbE2PTU/CQBCG7yb+h82YeDGwi1KktVsOJEZiTIhFOS/t2DZ2&#10;Z0t3afHfO5z0OO88eT/S1dm2YsDeN440zKYKBFLhyoYqDR+758kShA+GStM6Qg0/6GGVXV+lJind&#10;SO845KESbEI+MRrqELpESl/UaI2fug6Jf1+utybw2Vey7M3I5raV90otpDUNcUJtOlzXWHznJ6th&#10;LLbDfvf2Ird3+42j4+a4zj9ftb69maknEAHP4Q+GS32uDhl3OrgTlV60GqJlHDGqYRI9xryKkUU8&#10;Z+lwkR7mCmSWyv8rsl9QSwMEFAAAAAgAh07iQASzQbfnAQAAvwMAAA4AAABkcnMvZTJvRG9jLnht&#10;bK1TXW/TMBR9R+I/WH6naap+jKjpNG0aQhowMfgBt47TWCS+5tptUn49107XdfCGeLF8P3x8zvH1&#10;+nroWnHQ5A3aUuaTqRTaKqyM3ZXy+7f7d1dS+AC2ghatLuVRe3m9eftm3btCz7DBttIkGMT6onel&#10;bEJwRZZ51egO/ASdtlyskToIHNIuqwh6Ru/abDadLrMeqXKESnvP2buxKDcJv661Cl/q2usg2lIy&#10;t5BWSus2rtlmDcWOwDVGnWjAP7DowFi+9Ax1BwHEnsxfUJ1RhB7rMFHYZVjXRumkgdXk0z/UPDXg&#10;dNLC5nh3tsn/P1j1+fBIwlSlXOVSWOj4jb6ya2B3rRb5bBEd6p0vuPHJPVLU6N0Dqh9eWLxtuE/f&#10;EGHfaKiYVx77s1cHYuD5qNj2n7BifNgHTGYNNXURkG0QQ3qT4/lN9BCE4uRyuVwt+OUUl2ZXi7iP&#10;N0DxfNiRDx80diJuSklMPoHD4cGHsfW5Jd5l8d60LeehaO2rBGPGTCIf+Y66w7AduDuK2GJ1ZBmE&#10;4xTx1POmQfolRc8TVEr/cw+kpWg/WrbifT6fx5FLwXyxmnFAl5XtZQWsYqhSBinG7W0Yx3TvyOwa&#10;vilPsizesH21SdJeWJ1485Qkc04THcfwMk5dL/9u8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L&#10;Oodz3AAAAA0BAAAPAAAAAAAAAAEAIAAAACIAAABkcnMvZG93bnJldi54bWxQSwECFAAUAAAACACH&#10;TuJABLNBt+cBAAC/AwAADgAAAAAAAAABACAAAAArAQAAZHJzL2Uyb0RvYy54bWxQSwUGAAAAAAYA&#10;BgBZAQAAhAUAAAAA&#10;">
                <v:fill on="f" focussize="0,0"/>
                <v:stroke on="f"/>
                <v:imagedata o:title=""/>
                <o:lock v:ext="edit" aspectratio="f"/>
                <v:textbox>
                  <w:txbxContent>
                    <w:p>
                      <w:pPr>
                        <w:rPr>
                          <w:color w:val="000000"/>
                          <w:sz w:val="21"/>
                          <w:szCs w:val="21"/>
                        </w:rPr>
                      </w:pPr>
                      <w:r>
                        <w:rPr>
                          <w:rFonts w:hint="eastAsia"/>
                          <w:color w:val="000000"/>
                          <w:sz w:val="21"/>
                          <w:szCs w:val="21"/>
                        </w:rPr>
                        <w:t>花椒地</w:t>
                      </w:r>
                    </w:p>
                  </w:txbxContent>
                </v:textbox>
              </v:rect>
            </w:pict>
          </mc:Fallback>
        </mc:AlternateContent>
      </w:r>
      <w:r>
        <w:rPr>
          <w:rFonts w:hint="default" w:ascii="Times New Roman" w:hAnsi="Times New Roman" w:cs="Times New Roman"/>
          <w:color w:val="auto"/>
        </w:rPr>
        <mc:AlternateContent>
          <mc:Choice Requires="wps">
            <w:drawing>
              <wp:anchor distT="0" distB="0" distL="114300" distR="114300" simplePos="0" relativeHeight="251656192" behindDoc="0" locked="0" layoutInCell="1" allowOverlap="1">
                <wp:simplePos x="0" y="0"/>
                <wp:positionH relativeFrom="column">
                  <wp:posOffset>3248025</wp:posOffset>
                </wp:positionH>
                <wp:positionV relativeFrom="paragraph">
                  <wp:posOffset>-4095750</wp:posOffset>
                </wp:positionV>
                <wp:extent cx="666750" cy="285750"/>
                <wp:effectExtent l="0" t="0" r="0" b="0"/>
                <wp:wrapNone/>
                <wp:docPr id="70" name="Rectangle 124"/>
                <wp:cNvGraphicFramePr/>
                <a:graphic xmlns:a="http://schemas.openxmlformats.org/drawingml/2006/main">
                  <a:graphicData uri="http://schemas.microsoft.com/office/word/2010/wordprocessingShape">
                    <wps:wsp>
                      <wps:cNvSpPr>
                        <a:spLocks noChangeArrowheads="1"/>
                      </wps:cNvSpPr>
                      <wps:spPr bwMode="auto">
                        <a:xfrm>
                          <a:off x="0" y="0"/>
                          <a:ext cx="666750" cy="285750"/>
                        </a:xfrm>
                        <a:prstGeom prst="rect">
                          <a:avLst/>
                        </a:prstGeom>
                        <a:noFill/>
                        <a:ln>
                          <a:noFill/>
                        </a:ln>
                      </wps:spPr>
                      <wps:txbx>
                        <w:txbxContent>
                          <w:p>
                            <w:pPr>
                              <w:rPr>
                                <w:color w:val="000000"/>
                                <w:sz w:val="21"/>
                                <w:szCs w:val="21"/>
                              </w:rPr>
                            </w:pPr>
                            <w:r>
                              <w:rPr>
                                <w:rFonts w:hint="eastAsia"/>
                                <w:color w:val="000000"/>
                                <w:sz w:val="21"/>
                                <w:szCs w:val="21"/>
                              </w:rPr>
                              <w:t>花椒地</w:t>
                            </w:r>
                          </w:p>
                        </w:txbxContent>
                      </wps:txbx>
                      <wps:bodyPr rot="0" vert="horz" wrap="square" lIns="91440" tIns="45720" rIns="91440" bIns="45720" anchor="t" anchorCtr="0" upright="1">
                        <a:noAutofit/>
                      </wps:bodyPr>
                    </wps:wsp>
                  </a:graphicData>
                </a:graphic>
              </wp:anchor>
            </w:drawing>
          </mc:Choice>
          <mc:Fallback>
            <w:pict>
              <v:rect id="Rectangle 124" o:spid="_x0000_s1026" o:spt="1" style="position:absolute;left:0pt;margin-left:255.75pt;margin-top:-322.5pt;height:22.5pt;width:52.5pt;z-index:251656192;mso-width-relative:page;mso-height-relative:page;" filled="f" stroked="f" coordsize="21600,21600" o:gfxdata="UEsDBAoAAAAAAIdO4kAAAAAAAAAAAAAAAAAEAAAAZHJzL1BLAwQUAAAACACHTuJATKjxntoAAAAN&#10;AQAADwAAAGRycy9kb3ducmV2LnhtbE2PTUvDQBCG74L/YRnBi7S7KyZIzKaHglhEKKba8zYZk2B2&#10;Ns1uk/rvnZ70OO88vB/56ux6MeEYOk8G9FKBQKp83VFj4GP3vHgEEaKl2vae0MAPBlgV11e5zWo/&#10;0ztOZWwEm1DIrIE2xiGTMlQtOhuWfkDi35cfnY18jo2sRzuzuevlvVKpdLYjTmjtgOsWq+/y5AzM&#10;1Xba795e5PZuv/F03BzX5eerMbc3Wj2BiHiOfzBc6nN1KLjTwZ+oDqI3kGidMGpgkT4kvIqRVKcs&#10;HS6SUgpkkcv/K4pfUEsDBBQAAAAIAIdO4kAGHwL55gEAAL8DAAAOAAAAZHJzL2Uyb0RvYy54bWyt&#10;U11v0zAUfUfiP1h+p2mqfoyo6TRtGkIaMDH4AbeO01gkvubabVJ+PddO13XwhnixfD98fM7x9fp6&#10;6Fpx0OQN2lLmk6kU2iqsjN2V8vu3+3dXUvgAtoIWrS7lUXt5vXn7Zt27Qs+wwbbSJBjE+qJ3pWxC&#10;cEWWedXoDvwEnbZcrJE6CBzSLqsIekbv2mw2nS6zHqlyhEp7z9m7sSg3Cb+utQpf6trrINpSMreQ&#10;VkrrNq7ZZg3FjsA1Rp1owD+w6MBYvvQMdQcBxJ7MX1CdUYQe6zBR2GVY10bppIHV5NM/1Dw14HTS&#10;wuZ4d7bJ/z9Y9fnwSMJUpVyxPRY6fqOv7BrYXatFPptHh3rnC258co8UNXr3gOqHFxZvG+7TN0TY&#10;Nxoq5pXH/uzVgRh4Piq2/SesGB/2AZNZQ01dBGQbxJDe5Hh+Ez0EoTi5XC5XC6amuDS7WsR9vAGK&#10;58OOfPigsRNxU0pi8gkcDg8+jK3PLfEui/embTkPRWtfJRgzZhL5yHfUHYbtwN1RxBarI8sgHKeI&#10;p543DdIvKXqeoFL6n3sgLUX70bIV7/P5PI5cCuaL1YwDuqxsLytgFUOVMkgxbm/DOKZ7R2bX8E15&#10;kmXxhu2rTZL2wurEm6ckmXOa6DiGl3Hqevl3m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MqPGe&#10;2gAAAA0BAAAPAAAAAAAAAAEAIAAAACIAAABkcnMvZG93bnJldi54bWxQSwECFAAUAAAACACHTuJA&#10;Bh8C+eYBAAC/AwAADgAAAAAAAAABACAAAAApAQAAZHJzL2Uyb0RvYy54bWxQSwUGAAAAAAYABgBZ&#10;AQAAgQUAAAAA&#10;">
                <v:fill on="f" focussize="0,0"/>
                <v:stroke on="f"/>
                <v:imagedata o:title=""/>
                <o:lock v:ext="edit" aspectratio="f"/>
                <v:textbox>
                  <w:txbxContent>
                    <w:p>
                      <w:pPr>
                        <w:rPr>
                          <w:color w:val="000000"/>
                          <w:sz w:val="21"/>
                          <w:szCs w:val="21"/>
                        </w:rPr>
                      </w:pPr>
                      <w:r>
                        <w:rPr>
                          <w:rFonts w:hint="eastAsia"/>
                          <w:color w:val="000000"/>
                          <w:sz w:val="21"/>
                          <w:szCs w:val="21"/>
                        </w:rPr>
                        <w:t>花椒地</w:t>
                      </w:r>
                    </w:p>
                  </w:txbxContent>
                </v:textbox>
              </v:rect>
            </w:pict>
          </mc:Fallback>
        </mc:AlternateContent>
      </w:r>
      <w:r>
        <w:rPr>
          <w:rFonts w:hint="default" w:ascii="Times New Roman" w:hAnsi="Times New Roman" w:cs="Times New Roman"/>
          <w:color w:val="auto"/>
        </w:rPr>
        <mc:AlternateContent>
          <mc:Choice Requires="wps">
            <w:drawing>
              <wp:anchor distT="0" distB="0" distL="114300" distR="114300" simplePos="0" relativeHeight="251655168" behindDoc="0" locked="0" layoutInCell="1" allowOverlap="1">
                <wp:simplePos x="0" y="0"/>
                <wp:positionH relativeFrom="column">
                  <wp:posOffset>3362325</wp:posOffset>
                </wp:positionH>
                <wp:positionV relativeFrom="paragraph">
                  <wp:posOffset>-4048125</wp:posOffset>
                </wp:positionV>
                <wp:extent cx="295275" cy="238125"/>
                <wp:effectExtent l="19050" t="19050" r="19050" b="9525"/>
                <wp:wrapNone/>
                <wp:docPr id="69" name="Freeform 123"/>
                <wp:cNvGraphicFramePr/>
                <a:graphic xmlns:a="http://schemas.openxmlformats.org/drawingml/2006/main">
                  <a:graphicData uri="http://schemas.microsoft.com/office/word/2010/wordprocessingShape">
                    <wps:wsp>
                      <wps:cNvSpPr/>
                      <wps:spPr bwMode="auto">
                        <a:xfrm>
                          <a:off x="0" y="0"/>
                          <a:ext cx="295275" cy="238125"/>
                        </a:xfrm>
                        <a:custGeom>
                          <a:avLst/>
                          <a:gdLst>
                            <a:gd name="T0" fmla="*/ 135 w 465"/>
                            <a:gd name="T1" fmla="*/ 390 h 390"/>
                            <a:gd name="T2" fmla="*/ 465 w 465"/>
                            <a:gd name="T3" fmla="*/ 60 h 390"/>
                            <a:gd name="T4" fmla="*/ 345 w 465"/>
                            <a:gd name="T5" fmla="*/ 0 h 390"/>
                            <a:gd name="T6" fmla="*/ 0 w 465"/>
                            <a:gd name="T7" fmla="*/ 330 h 390"/>
                            <a:gd name="T8" fmla="*/ 135 w 465"/>
                            <a:gd name="T9" fmla="*/ 390 h 390"/>
                          </a:gdLst>
                          <a:ahLst/>
                          <a:cxnLst>
                            <a:cxn ang="0">
                              <a:pos x="T0" y="T1"/>
                            </a:cxn>
                            <a:cxn ang="0">
                              <a:pos x="T2" y="T3"/>
                            </a:cxn>
                            <a:cxn ang="0">
                              <a:pos x="T4" y="T5"/>
                            </a:cxn>
                            <a:cxn ang="0">
                              <a:pos x="T6" y="T7"/>
                            </a:cxn>
                            <a:cxn ang="0">
                              <a:pos x="T8" y="T9"/>
                            </a:cxn>
                          </a:cxnLst>
                          <a:rect l="0" t="0" r="r" b="b"/>
                          <a:pathLst>
                            <a:path w="465" h="390">
                              <a:moveTo>
                                <a:pt x="135" y="390"/>
                              </a:moveTo>
                              <a:lnTo>
                                <a:pt x="465" y="60"/>
                              </a:lnTo>
                              <a:lnTo>
                                <a:pt x="345" y="0"/>
                              </a:lnTo>
                              <a:lnTo>
                                <a:pt x="0" y="330"/>
                              </a:lnTo>
                              <a:lnTo>
                                <a:pt x="135" y="390"/>
                              </a:lnTo>
                              <a:close/>
                            </a:path>
                          </a:pathLst>
                        </a:custGeom>
                        <a:solidFill>
                          <a:srgbClr val="FFFFCC"/>
                        </a:solidFill>
                        <a:ln w="9525">
                          <a:solidFill>
                            <a:srgbClr val="FFC000"/>
                          </a:solidFill>
                          <a:round/>
                        </a:ln>
                      </wps:spPr>
                      <wps:bodyPr rot="0" vert="horz" wrap="square" lIns="91440" tIns="45720" rIns="91440" bIns="45720" anchor="t" anchorCtr="0" upright="1">
                        <a:noAutofit/>
                      </wps:bodyPr>
                    </wps:wsp>
                  </a:graphicData>
                </a:graphic>
              </wp:anchor>
            </w:drawing>
          </mc:Choice>
          <mc:Fallback>
            <w:pict>
              <v:shape id="Freeform 123" o:spid="_x0000_s1026" o:spt="100" style="position:absolute;left:0pt;margin-left:264.75pt;margin-top:-318.75pt;height:18.75pt;width:23.25pt;z-index:251655168;mso-width-relative:page;mso-height-relative:page;" fillcolor="#FFFFCC" filled="t" stroked="t" coordsize="465,390" o:gfxdata="UEsDBAoAAAAAAIdO4kAAAAAAAAAAAAAAAAAEAAAAZHJzL1BLAwQUAAAACACHTuJA2Q1Z6N0AAAAN&#10;AQAADwAAAGRycy9kb3ducmV2LnhtbE2PzU7DMBCE70i8g7VIXFBrtygJhDg9FFUcyoUmElc32SZR&#10;43UUuz/h6dme4La7M5r9JltdbS/OOPrOkYbFXIFAqlzdUaOhLDazFxA+GKpN7wg1TOhhld/fZSat&#10;3YW+8LwLjeAQ8qnR0IYwpFL6qkVr/NwNSKwd3GhN4HVsZD2aC4fbXi6ViqU1HfGH1gy4brE67k5W&#10;Q7T9ScqnovyePo+H6aMI0+Z9u9b68WGh3kAEvIY/M9zwGR1yZtq7E9Ve9JyxfI3YqmEWPyc8sSVK&#10;Yq63v52UUiDzTP5vkf8CUEsDBBQAAAAIAIdO4kDckCX8+QIAAIYHAAAOAAAAZHJzL2Uyb0RvYy54&#10;bWytVdlu2zAQfC/QfyD4WKDR5SM2IgeFAxcFegSI+wE0RVkCKFIlacvp13eXOiIncVAU9YNEiuPh&#10;7sxyeXN7qiQ5CmNLrVIaXYWUCMV1Vqp9Sn9uNx+vKbGOqYxJrURKH4Wlt6v3726aeiliXWiZCUOA&#10;RNllU6e0cK5eBoHlhaiYvdK1ULCYa1MxB1OzDzLDGmCvZBCH4SxotMlqo7mwFr7etYt05fnzXHD3&#10;I8+tcESmFGJz/mn8c4fPYHXDlnvD6qLkXRjsH6KoWKlg04HqjjlGDqZ8QVWV3Girc3fFdRXoPC+5&#10;8DlANlH4LJuHgtXC5wLi2HqQyf4/Wv79eG9ImaV0tqBEsQo82hghUHESxQkK1NR2CbiH+t50MwtD&#10;smu+6Qzg7OC0z/2Umwo1gKzIyUv8OEgsTo5w+BgvpvF8SgmHpTi5juIp7hCwZf9nfrDus9CeiB2/&#10;Wtc6lMHI65t1QW7BzbySYNaHgETJlDRkMvNkYMIAikagZBGSgsCzM30AxSMQcLzOlIxAswtEkxEm&#10;mVwgguSHuC/wzM4gryY2H0GS5AIPnL1hq4sSge0D6EwiMGXfy86K3gl+Up0VMCIMj3no3a+1RdfR&#10;F/B2G3W+Agp9uwAG6RHsywz2exsM8iK4r5i3waAhgud/FQYIheDFGNyG0+VqoJE8byGGEmghu7aa&#10;auZQIkwVh6RJKZYjKVKKFYffK30UW+0RDpUCR/y2XUXCfk8IqcZIzwQBznzpArBf7t+1J4SS84Rv&#10;o1p/oGa6ZHuO/t1yvQyuX+dSW9GeWczUH94hexRtdICtlmW2KaXErK3Z79bSkCODXryB33rdhXAG&#10;kwrFgzYx9aqdrT2jWIdhn8UZzOiDytoQJVRfgA0MW1bbynY6e4T2ZXR7GcDlBYNCm9+UNHARpNT+&#10;OjAjKJFfFHTaRTSZ4M3hJ5PpPIaJGa/sxitMcaBKqaNwNnC4du1tc6hNuS9gp8inpfQnaJt5ie3N&#10;x9dG1U2g2Xtdu4sJb5Px3KOers/V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NkNWejdAAAADQEA&#10;AA8AAAAAAAAAAQAgAAAAIgAAAGRycy9kb3ducmV2LnhtbFBLAQIUABQAAAAIAIdO4kDckCX8+QIA&#10;AIYHAAAOAAAAAAAAAAEAIAAAACwBAABkcnMvZTJvRG9jLnhtbFBLBQYAAAAABgAGAFkBAACXBgAA&#10;AAA=&#10;" path="m135,390l465,60,345,0,0,330,135,390xe">
                <v:path o:connectlocs="85725,238125;295275,36634;219075,0;0,201490;85725,238125" o:connectangles="0,0,0,0,0"/>
                <v:fill on="t" focussize="0,0"/>
                <v:stroke color="#FFC000" joinstyle="round"/>
                <v:imagedata o:title=""/>
                <o:lock v:ext="edit" aspectratio="f"/>
              </v:shape>
            </w:pict>
          </mc:Fallback>
        </mc:AlternateContent>
      </w:r>
      <w:r>
        <w:rPr>
          <w:rFonts w:hint="default" w:ascii="Times New Roman" w:hAnsi="Times New Roman" w:cs="Times New Roman"/>
          <w:color w:val="auto"/>
        </w:rPr>
        <w:drawing>
          <wp:inline distT="0" distB="0" distL="114300" distR="114300">
            <wp:extent cx="7732395" cy="4837430"/>
            <wp:effectExtent l="0" t="0" r="1905" b="127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7"/>
                    <a:stretch>
                      <a:fillRect/>
                    </a:stretch>
                  </pic:blipFill>
                  <pic:spPr>
                    <a:xfrm>
                      <a:off x="0" y="0"/>
                      <a:ext cx="7732395" cy="4837430"/>
                    </a:xfrm>
                    <a:prstGeom prst="rect">
                      <a:avLst/>
                    </a:prstGeom>
                    <a:noFill/>
                    <a:ln>
                      <a:noFill/>
                    </a:ln>
                  </pic:spPr>
                </pic:pic>
              </a:graphicData>
            </a:graphic>
          </wp:inline>
        </w:drawing>
      </w:r>
    </w:p>
    <w:p>
      <w:pPr>
        <w:jc w:val="center"/>
        <w:rPr>
          <w:rFonts w:hint="default" w:ascii="Times New Roman" w:hAnsi="Times New Roman" w:cs="Times New Roman"/>
          <w:b/>
          <w:bCs/>
          <w:color w:val="auto"/>
          <w:szCs w:val="24"/>
        </w:rPr>
        <w:sectPr>
          <w:pgSz w:w="16838" w:h="11906" w:orient="landscape"/>
          <w:pgMar w:top="1800" w:right="1440" w:bottom="1800" w:left="1440" w:header="708" w:footer="708" w:gutter="0"/>
          <w:pgBorders>
            <w:top w:val="none" w:sz="0" w:space="0"/>
            <w:left w:val="none" w:sz="0" w:space="0"/>
            <w:bottom w:val="none" w:sz="0" w:space="0"/>
            <w:right w:val="none" w:sz="0" w:space="0"/>
          </w:pgBorders>
          <w:pgNumType w:fmt="decimal"/>
          <w:cols w:space="720" w:num="1"/>
          <w:docGrid w:linePitch="360" w:charSpace="0"/>
        </w:sectPr>
      </w:pPr>
      <w:r>
        <w:rPr>
          <w:rFonts w:hint="default" w:ascii="Times New Roman" w:hAnsi="Times New Roman" w:cs="Times New Roman"/>
          <w:b/>
          <w:bCs/>
          <w:color w:val="auto"/>
          <w:szCs w:val="24"/>
        </w:rPr>
        <w:t>图2.2    四邻关系图</w:t>
      </w:r>
    </w:p>
    <w:p>
      <w:pPr>
        <w:pStyle w:val="2"/>
        <w:rPr>
          <w:rFonts w:hint="default" w:ascii="Times New Roman" w:hAnsi="Times New Roman" w:cs="Times New Roman"/>
          <w:color w:val="auto"/>
        </w:rPr>
        <w:sectPr>
          <w:type w:val="continuous"/>
          <w:pgSz w:w="16838" w:h="11906" w:orient="landscape"/>
          <w:pgMar w:top="1800" w:right="1440" w:bottom="1800" w:left="1440" w:header="708" w:footer="708" w:gutter="0"/>
          <w:pgBorders>
            <w:top w:val="none" w:sz="0" w:space="0"/>
            <w:left w:val="none" w:sz="0" w:space="0"/>
            <w:bottom w:val="none" w:sz="0" w:space="0"/>
            <w:right w:val="none" w:sz="0" w:space="0"/>
          </w:pgBorders>
          <w:pgNumType w:fmt="decimal"/>
          <w:cols w:space="720" w:num="1"/>
          <w:docGrid w:linePitch="360" w:charSpace="0"/>
        </w:sectPr>
      </w:pPr>
    </w:p>
    <w:p>
      <w:pPr>
        <w:jc w:val="both"/>
        <w:rPr>
          <w:rFonts w:hint="default" w:ascii="Times New Roman" w:hAnsi="Times New Roman" w:cs="Times New Roman"/>
          <w:color w:val="auto"/>
        </w:rPr>
      </w:pPr>
      <w:r>
        <w:rPr>
          <w:rFonts w:hint="default" w:ascii="Times New Roman" w:hAnsi="Times New Roman" w:cs="Times New Roman"/>
          <w:b/>
          <w:bCs/>
          <w:color w:val="auto"/>
          <w:szCs w:val="24"/>
        </w:rPr>
        <mc:AlternateContent>
          <mc:Choice Requires="wps">
            <w:drawing>
              <wp:anchor distT="0" distB="0" distL="114300" distR="114300" simplePos="0" relativeHeight="251654144" behindDoc="0" locked="0" layoutInCell="1" allowOverlap="1">
                <wp:simplePos x="0" y="0"/>
                <wp:positionH relativeFrom="column">
                  <wp:posOffset>2399665</wp:posOffset>
                </wp:positionH>
                <wp:positionV relativeFrom="paragraph">
                  <wp:posOffset>5120005</wp:posOffset>
                </wp:positionV>
                <wp:extent cx="1143000" cy="323850"/>
                <wp:effectExtent l="0" t="0" r="0" b="0"/>
                <wp:wrapNone/>
                <wp:docPr id="21" name="矩形 121"/>
                <wp:cNvGraphicFramePr/>
                <a:graphic xmlns:a="http://schemas.openxmlformats.org/drawingml/2006/main">
                  <a:graphicData uri="http://schemas.microsoft.com/office/word/2010/wordprocessingShape">
                    <wps:wsp>
                      <wps:cNvSpPr>
                        <a:spLocks noChangeArrowheads="1"/>
                      </wps:cNvSpPr>
                      <wps:spPr bwMode="auto">
                        <a:xfrm>
                          <a:off x="0" y="0"/>
                          <a:ext cx="1143000" cy="323850"/>
                        </a:xfrm>
                        <a:prstGeom prst="rect">
                          <a:avLst/>
                        </a:prstGeom>
                        <a:noFill/>
                        <a:ln>
                          <a:noFill/>
                        </a:ln>
                      </wps:spPr>
                      <wps:txbx>
                        <w:txbxContent>
                          <w:p>
                            <w:pPr>
                              <w:rPr>
                                <w:color w:val="auto"/>
                                <w:sz w:val="21"/>
                                <w:szCs w:val="21"/>
                              </w:rPr>
                            </w:pPr>
                            <w:r>
                              <w:rPr>
                                <w:rFonts w:hint="eastAsia"/>
                                <w:color w:val="auto"/>
                                <w:sz w:val="21"/>
                                <w:szCs w:val="21"/>
                              </w:rPr>
                              <w:t>危废暂存间</w:t>
                            </w:r>
                          </w:p>
                        </w:txbxContent>
                      </wps:txbx>
                      <wps:bodyPr rot="0" vert="horz" wrap="square" lIns="91440" tIns="45720" rIns="91440" bIns="45720" anchor="t" anchorCtr="0" upright="1">
                        <a:noAutofit/>
                      </wps:bodyPr>
                    </wps:wsp>
                  </a:graphicData>
                </a:graphic>
              </wp:anchor>
            </w:drawing>
          </mc:Choice>
          <mc:Fallback>
            <w:pict>
              <v:rect id="矩形 121" o:spid="_x0000_s1026" o:spt="1" style="position:absolute;left:0pt;margin-left:188.95pt;margin-top:403.15pt;height:25.5pt;width:90pt;z-index:251654144;mso-width-relative:page;mso-height-relative:page;" filled="f" stroked="f" coordsize="21600,21600" o:gfxdata="UEsDBAoAAAAAAIdO4kAAAAAAAAAAAAAAAAAEAAAAZHJzL1BLAwQUAAAACACHTuJAF8k6GtsAAAAL&#10;AQAADwAAAGRycy9kb3ducmV2LnhtbE2PwU7DMAyG70i8Q2QkLoglo+o6StMdJiEmhDTRwc5Za9qK&#10;xumarB1vj3eCo39/+v05W51tJ0YcfOtIw3ymQCCVrmqp1vCxe75fgvDBUGU6R6jhBz2s8uurzKSV&#10;m+gdxyLUgkvIp0ZDE0KfSunLBq3xM9cj8e7LDdYEHodaVoOZuNx28kGphbSmJb7QmB7XDZbfxclq&#10;mMrtuN+9vcjt3X7j6Lg5rovPV61vb+bqCUTAc/iD4aLP6pCz08GdqPKi0xAlySOjGpZqEYFgIo4v&#10;yYGTOIlA5pn8/0P+C1BLAwQUAAAACACHTuJAJhSpgvMBAAC9AwAADgAAAGRycy9lMm9Eb2MueG1s&#10;rVNbbtQwFP1HYg+W/5k8ZgolmkxVtSpCKlCpsADHcRKLxNdceyYZNoPEH4tgOYhtcO1Mhyn8IX4i&#10;34ePzzn3Zn0xDT3bKXQaTMmzRcqZMhJqbdqSf3h/8+ycM+eFqUUPRpV8rxy/2Dx9sh5toXLooK8V&#10;MgIxrhhtyTvvbZEkTnZqEG4BVhkqNoCD8BRim9QoRkIf+iRP0+fJCFhbBKmco+z1XOSbiN80Svp3&#10;TeOUZ33JiZuPX4zfKnyTzVoULQrbaXmgIf6BxSC0oUePUNfCC7ZF/RfUoCWCg8YvJAwJNI2WKmog&#10;NVn6h5r7TlgVtZA5zh5tcv8PVr7d3SHTdcnzjDMjBprRzy/ffnz/yjLKkD2jdQV13ds7DAKdvQX5&#10;0TEDV50wrbpEhLFToiZSsT95dCEEjq6yanwDNYGLrYfo1NTgEADJAzbFgeyPA1GTZ5KSWbZapinN&#10;TVJtmS/Pz+LEElE83Lbo/CsFAwuHkiMNPKKL3a3zxJ5aH1rCYwZudN/HoffmUYIaQyayD4Rn4X6q&#10;poMHFdR70oEw7xDtPB06wM+cjbQ/JXeftgIVZ/1rQ168zFarsHAxWJ29yCnA00p1WhFGElTJPWfz&#10;8crPS7q1qNuOXsqiLAOX5F+jo7Tg7czqwJt2JCo+7HNYwtM4dv3+6z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fJOhrbAAAACwEAAA8AAAAAAAAAAQAgAAAAIgAAAGRycy9kb3ducmV2LnhtbFBL&#10;AQIUABQAAAAIAIdO4kAmFKmC8wEAAL0DAAAOAAAAAAAAAAEAIAAAACoBAABkcnMvZTJvRG9jLnht&#10;bFBLBQYAAAAABgAGAFkBAACPBQAAAAA=&#10;">
                <v:fill on="f" focussize="0,0"/>
                <v:stroke on="f"/>
                <v:imagedata o:title=""/>
                <o:lock v:ext="edit" aspectratio="f"/>
                <v:textbox>
                  <w:txbxContent>
                    <w:p>
                      <w:pPr>
                        <w:rPr>
                          <w:color w:val="auto"/>
                          <w:sz w:val="21"/>
                          <w:szCs w:val="21"/>
                        </w:rPr>
                      </w:pPr>
                      <w:r>
                        <w:rPr>
                          <w:rFonts w:hint="eastAsia"/>
                          <w:color w:val="auto"/>
                          <w:sz w:val="21"/>
                          <w:szCs w:val="21"/>
                        </w:rPr>
                        <w:t>危废暂存间</w:t>
                      </w:r>
                    </w:p>
                  </w:txbxContent>
                </v:textbox>
              </v:rect>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89984" behindDoc="0" locked="0" layoutInCell="1" allowOverlap="1">
                <wp:simplePos x="0" y="0"/>
                <wp:positionH relativeFrom="column">
                  <wp:posOffset>2800350</wp:posOffset>
                </wp:positionH>
                <wp:positionV relativeFrom="paragraph">
                  <wp:posOffset>4885055</wp:posOffset>
                </wp:positionV>
                <wp:extent cx="228600" cy="152400"/>
                <wp:effectExtent l="12700" t="0" r="25400" b="26035"/>
                <wp:wrapNone/>
                <wp:docPr id="2" name="矩形 2"/>
                <wp:cNvGraphicFramePr/>
                <a:graphic xmlns:a="http://schemas.openxmlformats.org/drawingml/2006/main">
                  <a:graphicData uri="http://schemas.microsoft.com/office/word/2010/wordprocessingShape">
                    <wps:wsp>
                      <wps:cNvSpPr/>
                      <wps:spPr>
                        <a:xfrm>
                          <a:off x="2428875" y="3684905"/>
                          <a:ext cx="2286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5pt;margin-top:384.65pt;height:12pt;width:18pt;z-index:251689984;v-text-anchor:middle;mso-width-relative:page;mso-height-relative:page;" filled="f" stroked="t" coordsize="21600,21600" o:gfxdata="UEsDBAoAAAAAAIdO4kAAAAAAAAAAAAAAAAAEAAAAZHJzL1BLAwQUAAAACACHTuJAHMyAgdoAAAAL&#10;AQAADwAAAGRycy9kb3ducmV2LnhtbE2PQU+DQBCF7yb+h82YeDHtghBokaWJTezBg4nVS28LOwIp&#10;O0vYpdR/73jS47x5ee975e5qB3HByfeOFMTrCARS40xPrYLPj5fVBoQPmoweHKGCb/Swq25vSl0Y&#10;t9A7Xo6hFRxCvtAKuhDGQkrfdGi1X7sRiX9fbrI68Dm10kx64XA7yMcoyqTVPXFDp0fcd9icj7NV&#10;UB9O037znBzC/JBx9Ll9xbdFqfu7OHoCEfAa/szwi8/oUDFT7WYyXgwK0jTmLUFBnm0TEOxI85yV&#10;mpVtkoCsSvl/Q/UDUEsDBBQAAAAIAIdO4kCVJQgdTAIAAHEEAAAOAAAAZHJzL2Uyb0RvYy54bWyt&#10;VEtu2zAQ3RfoHQjuG8mqnThG5MBI4KJA0ARIi67HFGkJ4K9D2nJ6mQLd9RA5TtFrdEgpn35WRb2g&#10;ZziP832js/OD0WwvMXTO1nxyVHImrXBNZ7c1//B+/WrOWYhgG9DOyprfycDPly9fnPV+ISvXOt1I&#10;ZOTEhkXva97G6BdFEUQrDYQj56Ulo3JoIJKK26JB6Mm70UVVlsdF77Dx6IQMgW4vByNfZv9KSRGv&#10;lQoyMl1zyi3mE/O5SWexPIPFFsG3nRjTgH/IwkBnKeijq0uIwHbY/eHKdAJdcCoeCWcKp1QnZK6B&#10;qpmUv1Vz24KXuRZqTvCPbQr/z614t79B1jU1rzizYGhEP758+37/lVWpN70PC4Lc+hsctUBiKvSg&#10;0KR/KoEd6PW0ms9PZpzd1fz18Xx6Ws6G3spDZCIBqvlxSRMQBJjMqinJ5LF4cuQxxDfSGZaEmiON&#10;LncU9lchDtAHSIpr3brTmu5hoS3rKcAs+WQCiEVKQyTReKor2C1noLdETxExuwxOd016nl4H3G4u&#10;NLI9EEXW65J+Y2a/wFLsSwjtgMumEaYt1ZEaNbQmSRvX3FFb0Q18C16sO3p/BSHeABLBKFFamnhN&#10;h9KOsnejxFnr8PPf7hOe5k5WznoiLFX2aQcoOdNvLTHidDKdJoZnZTo7qUjB55bNc4vdmQtHBU9o&#10;Pb3IYsJH/SAqdOYj7dYqRSUTWEGxhx6OykUcFom2U8jVKsOI1R7ilb31IjkfJrXaRae6PMSn7oxN&#10;I15nGow7mBbnuZ5RT1+K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czICB2gAAAAsBAAAPAAAA&#10;AAAAAAEAIAAAACIAAABkcnMvZG93bnJldi54bWxQSwECFAAUAAAACACHTuJAlSUIHUwCAABxBAAA&#10;DgAAAAAAAAABACAAAAApAQAAZHJzL2Uyb0RvYy54bWxQSwUGAAAAAAYABgBZAQAA5wUAAAAA&#10;">
                <v:fill on="f" focussize="0,0"/>
                <v:stroke weight="2pt" color="#FF0000 [3204]" joinstyle="round"/>
                <v:imagedata o:title=""/>
                <o:lock v:ext="edit" aspectratio="f"/>
              </v:rect>
            </w:pict>
          </mc:Fallback>
        </mc:AlternateContent>
      </w:r>
      <w:r>
        <w:rPr>
          <w:rFonts w:hint="default" w:ascii="Times New Roman" w:hAnsi="Times New Roman" w:cs="Times New Roman"/>
          <w:b/>
          <w:bCs/>
          <w:color w:val="auto"/>
          <w:szCs w:val="24"/>
        </w:rPr>
        <mc:AlternateContent>
          <mc:Choice Requires="wps">
            <w:drawing>
              <wp:anchor distT="0" distB="0" distL="114300" distR="114300" simplePos="0" relativeHeight="251720704" behindDoc="0" locked="0" layoutInCell="1" allowOverlap="1">
                <wp:simplePos x="0" y="0"/>
                <wp:positionH relativeFrom="column">
                  <wp:posOffset>354965</wp:posOffset>
                </wp:positionH>
                <wp:positionV relativeFrom="paragraph">
                  <wp:posOffset>3126740</wp:posOffset>
                </wp:positionV>
                <wp:extent cx="873125" cy="617220"/>
                <wp:effectExtent l="0" t="0" r="0" b="0"/>
                <wp:wrapNone/>
                <wp:docPr id="7" name="矩形 121"/>
                <wp:cNvGraphicFramePr/>
                <a:graphic xmlns:a="http://schemas.openxmlformats.org/drawingml/2006/main">
                  <a:graphicData uri="http://schemas.microsoft.com/office/word/2010/wordprocessingShape">
                    <wps:wsp>
                      <wps:cNvSpPr>
                        <a:spLocks noChangeArrowheads="1"/>
                      </wps:cNvSpPr>
                      <wps:spPr bwMode="auto">
                        <a:xfrm>
                          <a:off x="0" y="0"/>
                          <a:ext cx="873125" cy="617220"/>
                        </a:xfrm>
                        <a:prstGeom prst="rect">
                          <a:avLst/>
                        </a:prstGeom>
                        <a:noFill/>
                        <a:ln>
                          <a:noFill/>
                        </a:ln>
                      </wps:spPr>
                      <wps:txbx>
                        <w:txbxContent>
                          <w:p>
                            <w:pPr>
                              <w:spacing w:line="240" w:lineRule="auto"/>
                              <w:rPr>
                                <w:rFonts w:hint="eastAsia"/>
                                <w:color w:val="auto"/>
                                <w:sz w:val="21"/>
                                <w:szCs w:val="21"/>
                                <w:lang w:eastAsia="zh-CN"/>
                              </w:rPr>
                            </w:pPr>
                            <w:r>
                              <w:rPr>
                                <w:rFonts w:hint="eastAsia"/>
                                <w:color w:val="auto"/>
                                <w:sz w:val="21"/>
                                <w:szCs w:val="21"/>
                                <w:lang w:eastAsia="zh-CN"/>
                              </w:rPr>
                              <w:t>一般固废</w:t>
                            </w:r>
                          </w:p>
                          <w:p>
                            <w:pPr>
                              <w:spacing w:line="240" w:lineRule="auto"/>
                              <w:rPr>
                                <w:color w:val="auto"/>
                                <w:sz w:val="21"/>
                                <w:szCs w:val="21"/>
                              </w:rPr>
                            </w:pPr>
                            <w:r>
                              <w:rPr>
                                <w:rFonts w:hint="eastAsia"/>
                                <w:color w:val="auto"/>
                                <w:sz w:val="21"/>
                                <w:szCs w:val="21"/>
                              </w:rPr>
                              <w:t>暂存间</w:t>
                            </w:r>
                          </w:p>
                        </w:txbxContent>
                      </wps:txbx>
                      <wps:bodyPr rot="0" vert="horz" wrap="square" lIns="91440" tIns="45720" rIns="91440" bIns="45720" anchor="t" anchorCtr="0" upright="1">
                        <a:noAutofit/>
                      </wps:bodyPr>
                    </wps:wsp>
                  </a:graphicData>
                </a:graphic>
              </wp:anchor>
            </w:drawing>
          </mc:Choice>
          <mc:Fallback>
            <w:pict>
              <v:rect id="矩形 121" o:spid="_x0000_s1026" o:spt="1" style="position:absolute;left:0pt;margin-left:27.95pt;margin-top:246.2pt;height:48.6pt;width:68.75pt;z-index:251720704;mso-width-relative:page;mso-height-relative:page;" filled="f" stroked="f" coordsize="21600,21600" o:gfxdata="UEsDBAoAAAAAAIdO4kAAAAAAAAAAAAAAAAAEAAAAZHJzL1BLAwQUAAAACACHTuJAY8r+WdsAAAAK&#10;AQAADwAAAGRycy9kb3ducmV2LnhtbE2PwU7CQBCG7ya+w2ZMvBjZgkBo6ZYDiZEYE2JRzkt3aBu7&#10;s6W7tPj2Die5zeT/8s836epiG9Fj52tHCsajCARS4UxNpYKv3evzAoQPmoxuHKGCX/Swyu7vUp0Y&#10;N9An9nkoBZeQT7SCKoQ2kdIXFVrtR65F4uzoOqsDr10pTacHLreNnETRXFpdE1+odIvrCouf/GwV&#10;DMW23+8+3uT2ab9xdNqc1vn3u1KPD+NoCSLgJfzDcNVndcjY6eDOZLxoFMxmMZMKpvFkCuIKxC88&#10;HDhZxHOQWSpvX8j+AFBLAwQUAAAACACHTuJASPa0FvMBAAC7AwAADgAAAGRycy9lMm9Eb2MueG1s&#10;rVNRbtQwEP1H4g6W/9lswrZbos1WVasipAKVWg7gOE5ikXjM2LvJchkk/noIjoO4RsfOdtnCH+LH&#10;smfGz++9Ga/Ox75jW4VOgyl4OptzpoyESpum4J/ur1+dcea8MJXowKiC75Tj5+uXL1aDzVUGLXSV&#10;QkYgxuWDLXjrvc2TxMlW9cLNwCpDyRqwF56O2CQVioHQ+y7J5vPTZACsLIJUzlH0akrydcSvayX9&#10;x7p2yrOu4MTNxxXjWoY1Wa9E3qCwrZZ7GuIfWPRCG3r0AHUlvGAb1H9B9VoiOKj9TEKfQF1rqaIG&#10;UpPO/1Bz1wqrohYyx9mDTe7/wcoP21tkuir4kjMjemrRr28PP398Z2mWBncG63IqurO3GPQ5ewPy&#10;s2MGLlthGnWBCEOrREWcYn3y7EI4OLrKyuE9VAQuNh6iUWONfQAkC9gY+7E79EONnkkKni1fp9kJ&#10;Z5JSp+kyy2K/EpE/Xbbo/FsFPQubgiO1O4KL7Y3zRJ5Kn0rCWwauddfFlnfmWYAKQySSD3wn3X4s&#10;x70FJVQ7koEwTRBNPG1awK+cDTQ9BXdfNgIVZ907Q1a8SReLMG7xsDhZEnOGx5nyOCOMJKiCe86m&#10;7aWfRnRjUTctvZRGWQYuyL5aR2nB2onVnjdNSFS8n+YwgsfnWPX7z60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PK/lnbAAAACgEAAA8AAAAAAAAAAQAgAAAAIgAAAGRycy9kb3ducmV2LnhtbFBL&#10;AQIUABQAAAAIAIdO4kBI9rQW8wEAALsDAAAOAAAAAAAAAAEAIAAAACoBAABkcnMvZTJvRG9jLnht&#10;bFBLBQYAAAAABgAGAFkBAACPBQAAAAA=&#10;">
                <v:fill on="f" focussize="0,0"/>
                <v:stroke on="f"/>
                <v:imagedata o:title=""/>
                <o:lock v:ext="edit" aspectratio="f"/>
                <v:textbox>
                  <w:txbxContent>
                    <w:p>
                      <w:pPr>
                        <w:spacing w:line="240" w:lineRule="auto"/>
                        <w:rPr>
                          <w:rFonts w:hint="eastAsia"/>
                          <w:color w:val="auto"/>
                          <w:sz w:val="21"/>
                          <w:szCs w:val="21"/>
                          <w:lang w:eastAsia="zh-CN"/>
                        </w:rPr>
                      </w:pPr>
                      <w:r>
                        <w:rPr>
                          <w:rFonts w:hint="eastAsia"/>
                          <w:color w:val="auto"/>
                          <w:sz w:val="21"/>
                          <w:szCs w:val="21"/>
                          <w:lang w:eastAsia="zh-CN"/>
                        </w:rPr>
                        <w:t>一般固废</w:t>
                      </w:r>
                    </w:p>
                    <w:p>
                      <w:pPr>
                        <w:spacing w:line="240" w:lineRule="auto"/>
                        <w:rPr>
                          <w:color w:val="auto"/>
                          <w:sz w:val="21"/>
                          <w:szCs w:val="21"/>
                        </w:rPr>
                      </w:pPr>
                      <w:r>
                        <w:rPr>
                          <w:rFonts w:hint="eastAsia"/>
                          <w:color w:val="auto"/>
                          <w:sz w:val="21"/>
                          <w:szCs w:val="21"/>
                        </w:rPr>
                        <w:t>暂存间</w:t>
                      </w:r>
                    </w:p>
                  </w:txbxContent>
                </v:textbox>
              </v:rect>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23776" behindDoc="0" locked="0" layoutInCell="1" allowOverlap="1">
                <wp:simplePos x="0" y="0"/>
                <wp:positionH relativeFrom="column">
                  <wp:posOffset>412750</wp:posOffset>
                </wp:positionH>
                <wp:positionV relativeFrom="paragraph">
                  <wp:posOffset>3103880</wp:posOffset>
                </wp:positionV>
                <wp:extent cx="516255" cy="508000"/>
                <wp:effectExtent l="12700" t="12700" r="23495" b="12700"/>
                <wp:wrapNone/>
                <wp:docPr id="4" name="任意多边形 4"/>
                <wp:cNvGraphicFramePr/>
                <a:graphic xmlns:a="http://schemas.openxmlformats.org/drawingml/2006/main">
                  <a:graphicData uri="http://schemas.microsoft.com/office/word/2010/wordprocessingShape">
                    <wps:wsp>
                      <wps:cNvSpPr/>
                      <wps:spPr>
                        <a:xfrm>
                          <a:off x="1555750" y="4018280"/>
                          <a:ext cx="516255" cy="508000"/>
                        </a:xfrm>
                        <a:custGeom>
                          <a:avLst/>
                          <a:gdLst>
                            <a:gd name="connisteX0" fmla="*/ 71755 w 516255"/>
                            <a:gd name="connsiteY0" fmla="*/ 508000 h 508000"/>
                            <a:gd name="connisteX1" fmla="*/ 516255 w 516255"/>
                            <a:gd name="connsiteY1" fmla="*/ 444500 h 508000"/>
                            <a:gd name="connisteX2" fmla="*/ 452755 w 516255"/>
                            <a:gd name="connsiteY2" fmla="*/ 0 h 508000"/>
                            <a:gd name="connisteX3" fmla="*/ 0 w 516255"/>
                            <a:gd name="connsiteY3" fmla="*/ 79375 h 508000"/>
                            <a:gd name="connisteX4" fmla="*/ 71755 w 516255"/>
                            <a:gd name="connsiteY4" fmla="*/ 508000 h 50800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516255" h="508000">
                              <a:moveTo>
                                <a:pt x="71755" y="508000"/>
                              </a:moveTo>
                              <a:lnTo>
                                <a:pt x="516255" y="444500"/>
                              </a:lnTo>
                              <a:lnTo>
                                <a:pt x="452755" y="0"/>
                              </a:lnTo>
                              <a:lnTo>
                                <a:pt x="0" y="79375"/>
                              </a:lnTo>
                              <a:lnTo>
                                <a:pt x="71755" y="50800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32.5pt;margin-top:244.4pt;height:40pt;width:40.65pt;z-index:251723776;mso-width-relative:page;mso-height-relative:page;" filled="f" stroked="t" coordsize="516255,508000" o:gfxdata="UEsDBAoAAAAAAIdO4kAAAAAAAAAAAAAAAAAEAAAAZHJzL1BLAwQUAAAACACHTuJAAp2Y99kAAAAK&#10;AQAADwAAAGRycy9kb3ducmV2LnhtbE2PwU7DMAyG70i8Q2QkbiwdbFVXmk6AxA5FHBg8QNqYttA4&#10;VZKto0+Pd4Kj7V+/v6/YnuwgjuhD70jBcpGAQGqc6alV8PH+fJOBCFGT0YMjVPCDAbbl5UWhc+Mm&#10;esPjPraCSyjkWkEX45hLGZoOrQ4LNyLx7dN5qyOPvpXG64nL7SBvkySVVvfEHzo94lOHzff+YBWY&#10;2adz/1pVdbV72T08fm3Gad4odX21TO5BRDzFvzCc8RkdSmaq3YFMEIOCdM0qUcEqy1jhHFildyBq&#10;BeuUN7Is5H+F8hdQSwMEFAAAAAgAh07iQAKl+gLsAgAA6wcAAA4AAABkcnMvZTJvRG9jLnhtbK1V&#10;y24TMRTdI/EPlpdIdB6daULUpAuqsEFQqUWCpePxPCSPbdluJt2zZ88S8ROogq+hiM/g2jOTGAqk&#10;RWzG9vie+zj34eOTTcvRmmnTSDHHyUGMERNUFo2o5vjVxfLxFCNjiSgIl4LN8RUz+GTx8MFxp2Ys&#10;lbXkBdMIlAgz69Qc19aqWRQZWrOWmAOpmIDLUuqWWDjqKio06UB7y6M0jo+iTupCaUmZMfD3tL/E&#10;C6+/LBm1L8vSMIv4HINv1n+1/67cN1ock1mliaobOrhB/sGLljQCjG5VnRJL0KVubqlqG6qlkaU9&#10;oLKNZFk2lPkYIJok/iWa85oo5mMBcoza0mT+n1r6Yn2mUVPMcYaRIC2k6Ov19be3724+vv/+5dPN&#10;5w8ocyR1ysxA9lyd6eFkYOsi3pS6dSvEgjZQAnmeT3Kg+gpUxsk0nQ4ks41FFATy5CjNc4woCOTx&#10;NI79fbRTRC+NfcakV0rWz43tc1TAzjNcDH5SKURjLHsNxsqWQ9oeRWiSTPIcdWiwMkADhGksexMi&#10;eh9QjXbOQBpvGUkCI73yvVZCSJZleRzvtZIGVrI8vUssIWS/gcPAQLw3glB68uRwku8NAKronrkI&#10;Eb/JBRRGNaae1GM10I0YygF2iLhhE/v+U9K4KgxrA+rMHYfEQ0WASkC5WtoDhgSG4MQ1wp3BkJcQ&#10;nN4LDMSH4MN7gYHREOz7d3S7XwfuNIxHNxi5H4wWIxiMGiMYjCtnkMwUsY7ycYu6XfvW2+51t61c&#10;swvp5azj37ehd2PXVWB6J8ZFKD7OBHC7b5Qh3lFqXJVX3jeG1z7OjlFgXHvBfgr5wv2rwj94Oyqj&#10;XBrWp94R4mtgy4wjNBhYQi4bzj15XDi+0jyDCYcogcet5ARIpq2CcWtEhRHhFbya1Gpfu0bypnBw&#10;x6PR1eop12hNIEHLJYzJMdafxJQ29pSYupfzV9tQwVE3tvtB7XYrWVz5+e3/w4viQxleP/dkhWeP&#10;3r3Ri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ACnZj32QAAAAoBAAAPAAAAAAAAAAEAIAAAACIA&#10;AABkcnMvZG93bnJldi54bWxQSwECFAAUAAAACACHTuJAAqX6AuwCAADrBwAADgAAAAAAAAABACAA&#10;AAAoAQAAZHJzL2Uyb0RvYy54bWxQSwUGAAAAAAYABgBZAQAAhgYAAAAA&#10;" path="m71755,508000l516255,444500,452755,0,0,79375,71755,508000xe">
                <v:path o:connectlocs="71755,508000;516255,444500;452755,0;0,79375;71755,508000" o:connectangles="0,0,0,0,0"/>
                <v:fill on="f" focussize="0,0"/>
                <v:stroke weight="2pt" color="#FF0000 [3204]" joinstyle="round"/>
                <v:imagedata o:title=""/>
                <o:lock v:ext="edit" aspectratio="f"/>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22752" behindDoc="0" locked="0" layoutInCell="1" allowOverlap="1">
                <wp:simplePos x="0" y="0"/>
                <wp:positionH relativeFrom="column">
                  <wp:posOffset>3803650</wp:posOffset>
                </wp:positionH>
                <wp:positionV relativeFrom="paragraph">
                  <wp:posOffset>7423785</wp:posOffset>
                </wp:positionV>
                <wp:extent cx="228600" cy="152400"/>
                <wp:effectExtent l="12700" t="0" r="25400" b="26035"/>
                <wp:wrapNone/>
                <wp:docPr id="3" name="矩形 3"/>
                <wp:cNvGraphicFramePr/>
                <a:graphic xmlns:a="http://schemas.openxmlformats.org/drawingml/2006/main">
                  <a:graphicData uri="http://schemas.microsoft.com/office/word/2010/wordprocessingShape">
                    <wps:wsp>
                      <wps:cNvSpPr/>
                      <wps:spPr>
                        <a:xfrm>
                          <a:off x="0" y="0"/>
                          <a:ext cx="2286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9.5pt;margin-top:584.55pt;height:12pt;width:18pt;z-index:251722752;v-text-anchor:middle;mso-width-relative:page;mso-height-relative:page;" filled="f" stroked="t" coordsize="21600,21600" o:gfxdata="UEsDBAoAAAAAAIdO4kAAAAAAAAAAAAAAAAAEAAAAZHJzL1BLAwQUAAAACACHTuJAu4DUgtoAAAAN&#10;AQAADwAAAGRycy9kb3ducmV2LnhtbE2PwU7DMBBE70j8g7VIXBB1QtSoCXEqUYkeOCDRcuHmxEsS&#10;NV5HttOUv2d7guPOjGbfVNuLHcUZfRgcKUhXCQik1pmBOgWfx9fHDYgQNRk9OkIFPxhgW9/eVLo0&#10;bqEPPB9iJ7iEQqkV9DFOpZSh7dHqsHITEnvfzlsd+fSdNF4vXG5H+ZQkubR6IP7Q6wl3Pbanw2wV&#10;NPsvv9u8ZPs4P+Rcfere8H1R6v4uTZ5BRLzEvzBc8RkdamZq3EwmiFHBuih4S2QjzYsUBEfybM1S&#10;c5WKLAVZV/L/ivoXUEsDBBQAAAAIAIdO4kCQ9rR3QAIAAGUEAAAOAAAAZHJzL2Uyb0RvYy54bWyt&#10;VM1uEzEQviPxDpbvdJM0LSXKpopaBSFVNFJAnCdeO7uS/xg72YSXQeLGQ/A4iNdg7N0m4eeEyMGZ&#10;8Yzn55tvdnq7N5rtJIbG2ZIPLwacSStc1dhNyd+/W7y44SxEsBVoZ2XJDzLw29nzZ9PWT+TI1U5X&#10;EhkFsWHS+pLXMfpJUQRRSwPhwnlpyagcGoik4qaoEFqKbnQxGgyui9Zh5dEJGQLd3ndGPsvxlZIi&#10;PioVZGS65FRbzCfmc53OYjaFyQbB143oy4B/qMJAYynpMdQ9RGBbbP4IZRqBLjgVL4QzhVOqETL3&#10;QN0MB791s6rBy9wLgRP8Eabw/8KKt7slsqYq+SVnFgyN6Mfnr9+/fWGXCZvWhwm5rPwSey2QmBrd&#10;KzTpn1pg+4zn4Yin3Ecm6HI0urkeEOqCTMOr0ZhkilKcHnsM8bV0hiWh5EjjyijC7iHEzvXJJeWy&#10;btFoTfcw0Za1lOAqxWQCiDlKQyTReOol2A1noDdESRExhwxON1V6nl4H3KzvNLIdEC0WiwH9+sp+&#10;cUu57yHUnV829W7aUh8JnA6OJK1ddSAo0XUcC14sGnr/ACEuAYlUVCgtSnykQ2lH1bte4qx2+Olv&#10;98mfZk1WzloiKXX2cQsoOdNvLLHg1XA8TqzOyvjq5YgUPLeszy12a+4cNTyklfQii8k/6idRoTMf&#10;aJ/mKSuZwArK3WHYK3exWx7aSCHn8+xGTPYQH+zKixS8m9R8G51q8hBP6PSgEZczDfq9S8tyrmev&#10;09dh9h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7gNSC2gAAAA0BAAAPAAAAAAAAAAEAIAAAACIA&#10;AABkcnMvZG93bnJldi54bWxQSwECFAAUAAAACACHTuJAkPa0d0ACAABlBAAADgAAAAAAAAABACAA&#10;AAApAQAAZHJzL2Uyb0RvYy54bWxQSwUGAAAAAAYABgBZAQAA2wUAAAAA&#10;">
                <v:fill on="f" focussize="0,0"/>
                <v:stroke weight="2pt" color="#FF0000 [3204]" joinstyle="round"/>
                <v:imagedata o:title=""/>
                <o:lock v:ext="edit" aspectratio="f"/>
              </v:rect>
            </w:pict>
          </mc:Fallback>
        </mc:AlternateContent>
      </w:r>
      <w:r>
        <w:rPr>
          <w:rFonts w:hint="default" w:ascii="Times New Roman" w:hAnsi="Times New Roman" w:cs="Times New Roman"/>
          <w:color w:val="auto"/>
          <w:sz w:val="24"/>
        </w:rPr>
        <mc:AlternateContent>
          <mc:Choice Requires="wpg">
            <w:drawing>
              <wp:anchor distT="0" distB="0" distL="114300" distR="114300" simplePos="0" relativeHeight="251677696" behindDoc="0" locked="0" layoutInCell="1" allowOverlap="1">
                <wp:simplePos x="0" y="0"/>
                <wp:positionH relativeFrom="column">
                  <wp:posOffset>3801745</wp:posOffset>
                </wp:positionH>
                <wp:positionV relativeFrom="paragraph">
                  <wp:posOffset>6548120</wp:posOffset>
                </wp:positionV>
                <wp:extent cx="218440" cy="719455"/>
                <wp:effectExtent l="8255" t="4445" r="20955" b="19050"/>
                <wp:wrapNone/>
                <wp:docPr id="36" name="组合 36"/>
                <wp:cNvGraphicFramePr/>
                <a:graphic xmlns:a="http://schemas.openxmlformats.org/drawingml/2006/main">
                  <a:graphicData uri="http://schemas.microsoft.com/office/word/2010/wordprocessingGroup">
                    <wpg:wgp>
                      <wpg:cNvGrpSpPr/>
                      <wpg:grpSpPr>
                        <a:xfrm rot="0">
                          <a:off x="4968875" y="7692390"/>
                          <a:ext cx="218440" cy="719455"/>
                          <a:chOff x="5508" y="179081"/>
                          <a:chExt cx="344" cy="1133"/>
                        </a:xfrm>
                      </wpg:grpSpPr>
                      <wps:wsp>
                        <wps:cNvPr id="28" name="Oval 127"/>
                        <wps:cNvSpPr>
                          <a:spLocks noChangeArrowheads="1"/>
                        </wps:cNvSpPr>
                        <wps:spPr bwMode="auto">
                          <a:xfrm>
                            <a:off x="5508" y="179081"/>
                            <a:ext cx="270" cy="255"/>
                          </a:xfrm>
                          <a:prstGeom prst="ellipse">
                            <a:avLst/>
                          </a:prstGeom>
                          <a:solidFill>
                            <a:srgbClr val="FFFF00"/>
                          </a:solidFill>
                          <a:ln w="9525">
                            <a:solidFill>
                              <a:srgbClr val="000000"/>
                            </a:solidFill>
                            <a:round/>
                          </a:ln>
                        </wps:spPr>
                        <wps:bodyPr rot="0" vert="horz" wrap="square" lIns="91440" tIns="45720" rIns="91440" bIns="45720" anchor="t" anchorCtr="0" upright="1">
                          <a:noAutofit/>
                        </wps:bodyPr>
                      </wps:wsp>
                      <wps:wsp>
                        <wps:cNvPr id="29" name="AutoShape 129"/>
                        <wps:cNvSpPr>
                          <a:spLocks noChangeArrowheads="1"/>
                        </wps:cNvSpPr>
                        <wps:spPr bwMode="auto">
                          <a:xfrm>
                            <a:off x="5508" y="179528"/>
                            <a:ext cx="345" cy="255"/>
                          </a:xfrm>
                          <a:prstGeom prst="flowChartDecision">
                            <a:avLst/>
                          </a:prstGeom>
                          <a:solidFill>
                            <a:srgbClr val="00B0F0"/>
                          </a:solidFill>
                          <a:ln w="9525">
                            <a:solidFill>
                              <a:srgbClr val="000000"/>
                            </a:solidFill>
                            <a:miter lim="800000"/>
                          </a:ln>
                        </wps:spPr>
                        <wps:bodyPr rot="0" vert="horz" wrap="square" lIns="91440" tIns="45720" rIns="91440" bIns="45720" anchor="t" anchorCtr="0" upright="1">
                          <a:noAutofit/>
                        </wps:bodyPr>
                      </wps:wsp>
                      <wps:wsp>
                        <wps:cNvPr id="31" name="AutoShape 143"/>
                        <wps:cNvSpPr>
                          <a:spLocks noChangeArrowheads="1"/>
                        </wps:cNvSpPr>
                        <wps:spPr bwMode="auto">
                          <a:xfrm>
                            <a:off x="5559" y="179928"/>
                            <a:ext cx="288" cy="287"/>
                          </a:xfrm>
                          <a:prstGeom prst="sun">
                            <a:avLst>
                              <a:gd name="adj" fmla="val 25000"/>
                            </a:avLst>
                          </a:prstGeom>
                          <a:solidFill>
                            <a:srgbClr val="FFC000"/>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99.35pt;margin-top:515.6pt;height:56.65pt;width:17.2pt;z-index:251677696;mso-width-relative:page;mso-height-relative:page;" coordorigin="5508,179081" coordsize="344,1133" o:gfxdata="UEsDBAoAAAAAAIdO4kAAAAAAAAAAAAAAAAAEAAAAZHJzL1BLAwQUAAAACACHTuJAFnu5j9wAAAAN&#10;AQAADwAAAGRycy9kb3ducmV2LnhtbE2PwW7CMAyG75P2DpEn7TaSUMpY1xRNaNsJIQ0mIW6hMW1F&#10;k1RNaOHt5522o/1/+v05X15tywbsQ+OdAjkRwNCV3jSuUvC9+3haAAtRO6Nb71DBDQMsi/u7XGfG&#10;j+4Lh22sGJW4kGkFdYxdxnkoa7Q6THyHjrKT762ONPYVN70eqdy2fCrEnFvdOLpQ6w5XNZbn7cUq&#10;+Bz1+JbI92F9Pq1uh1262a8lKvX4IMUrsIjX+AfDrz6pQ0FOR39xJrBWQfqyeCaUApHIKTBC5kki&#10;gR1pJWezFHiR8/9fFD9QSwMEFAAAAAgAh07iQD1TgxM6AwAAxwoAAA4AAABkcnMvZTJvRG9jLnht&#10;bO1W3W7TMBS+R+IdLN+zJmnSNtHSaXR0Qhps0uAB3MT5Acc2tttsXHPBJe/D8yBeg2Mn7dIxBBpM&#10;SIhcRHGOfXzOdz5/x4dHVw1DG6p0LXiK/QMPI8ozkde8TPHrV8snM4y0ITwnTHCa4muq8dH88aPD&#10;ViY0EJVgOVUInHCdtDLFlTEyGY10VtGG6AMhKQdjIVRDDAxVOcoVacF7w0aB501GrVC5VCKjWsPf&#10;k86I585/UdDMnBeFpgaxFENsxr2Ve6/sezQ/JEmpiKzqrA+D3COKhtQcNt25OiGGoLWqv3PV1JkS&#10;WhTmIBPNSBRFnVGXA2Tje7eyOVViLV0uZdKWcgcTQHsLp3u7zV5uLhSq8xSPJxhx0kCNvn7+8OXT&#10;RwQ/AJ1WlglMOlXyUl6o/kfZjWzCV4VqkBIOWDuGlNBVisN4MptNI4yuUzydxME47rGmVwZlMCHw&#10;Z2EIFcnsBD8Oo6irRVZBwayHKPKAO2D1p7E387fWZ/36cRh2i31/PLbGURcLfNiQdxG2Eoilb7DT&#10;v4fdZUUkdSXRFpYeuwAi7bA73xCG/GBqI7JbwxyLm0VGyzORvdWIi0VFeEmPlRJtRUkOIbn0IPDB&#10;AjvQsBSt2hcih7KQtRGOYxbyAdR3ArWDedpjHHQA71AiiVTanFLRIPuRYspYLbXNjSRkc6ZNh+l2&#10;lstAsDpf1oy5gSpXC6YQJJziJTyeqzBsoIfTGEdtiuMoiJznPZseuvDc01dybxqcAp530TDu6tsh&#10;0yG8Evk1oNRT0GoRJFMJ9R6jFs51ivW7NVEUI/acA9Kx72hn3CCMpgHgo4aW1dBCeAauUmww6j4X&#10;phOPtVR1WcFOvkuLi2OoTlE70Gzluqj6YIF/XawPT8R4S0QbjyMrsDH+S2yM4FxA3UiyZeM4BEWw&#10;J/6nbCyYaOGYKHNCs9o2l/vx0vOeesuH4mVTG+hdrG5SPBuS9z9Jt+34brUc+3eQNHQivqeADymZ&#10;ERyUrrfEt0kazEDNHUlnTsZ/LJl6PaCl5XmZ922A5G8wKhoGdwnbEIII+NFLm9NW165+VVoXN4v3&#10;dPEPSOs/SGHX/uG25CDub3b2OjYcO12+uX/O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AWe7mP&#10;3AAAAA0BAAAPAAAAAAAAAAEAIAAAACIAAABkcnMvZG93bnJldi54bWxQSwECFAAUAAAACACHTuJA&#10;PVODEzoDAADHCgAADgAAAAAAAAABACAAAAArAQAAZHJzL2Uyb0RvYy54bWxQSwUGAAAAAAYABgBZ&#10;AQAA1wYAAAAA&#10;">
                <o:lock v:ext="edit" aspectratio="f"/>
                <v:shape id="Oval 127" o:spid="_x0000_s1026" o:spt="3" type="#_x0000_t3" style="position:absolute;left:5508;top:179081;height:255;width:270;" fillcolor="#FFFF00" filled="t" stroked="t" coordsize="21600,21600" o:gfxdata="UEsDBAoAAAAAAIdO4kAAAAAAAAAAAAAAAAAEAAAAZHJzL1BLAwQUAAAACACHTuJAdGY/7LkAAADb&#10;AAAADwAAAGRycy9kb3ducmV2LnhtbEVPy4rCMBTdC/5DuIIb0VRHRDpGQUHQWWkrri/NnbYzzU1I&#10;4uvvJ4sBl4fzXm2ephN38qG1rGA6yUAQV1a3XCu4lPvxEkSIyBo7y6TgRQE2635vhbm2Dz7TvYi1&#10;SCEcclTQxOhyKUPVkMEwsY44cd/WG4wJ+lpqj48Ubjo5y7KFNNhyamjQ0a6h6re4GQVmvh2dzFf5&#10;QdvKyeK1dNcff1RqOJhmnyAiPeNb/O8+aAWzNDZ9ST9Arv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RmP+y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AutoShape 129" o:spid="_x0000_s1026" o:spt="110" type="#_x0000_t110" style="position:absolute;left:5508;top:179528;height:255;width:345;" fillcolor="#00B0F0" filled="t" stroked="t" coordsize="21600,21600" o:gfxdata="UEsDBAoAAAAAAIdO4kAAAAAAAAAAAAAAAAAEAAAAZHJzL1BLAwQUAAAACACHTuJAmafFzb0AAADb&#10;AAAADwAAAGRycy9kb3ducmV2LnhtbEWPQWsCMRSE7wX/Q3hCL0Wz66HU1ShiEXopZdWLt+fmuVnc&#10;vCxJ1rX/vhGEHoeZb4ZZru+2FTfyoXGsIJ9mIIgrpxuuFRwPu8kHiBCRNbaOScEvBVivRi9LLLQb&#10;uKTbPtYilXAoUIGJsSukDJUhi2HqOuLkXZy3GJP0tdQeh1RuWznLsndpseG0YLCjraHquu+tgtm3&#10;t58nvSmHNyn7XfVT5v3ZKPU6zrMFiEj3+B9+0l86cXN4fE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8XN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shape>
                <v:shape id="AutoShape 143" o:spid="_x0000_s1026" o:spt="183" type="#_x0000_t183" style="position:absolute;left:5559;top:179928;height:287;width:288;" fillcolor="#FFC000" filled="t" stroked="t" coordsize="21600,21600" o:gfxdata="UEsDBAoAAAAAAIdO4kAAAAAAAAAAAAAAAAAEAAAAZHJzL1BLAwQUAAAACACHTuJABDbjtb4AAADb&#10;AAAADwAAAGRycy9kb3ducmV2LnhtbEWPQWvCQBSE74X+h+UVehHdTQtWoqu0gqXqqVHE4yP7TILZ&#10;tyG7Jvrvu4LQ4zAz3zCzxdXWoqPWV441JCMFgjh3puJCw363Gk5A+IBssHZMGm7kYTF/fpphalzP&#10;v9RloRARwj5FDWUITSqlz0uy6EeuIY7eybUWQ5RtIU2LfYTbWr4pNZYWK44LJTa0LCk/Zxer4XjJ&#10;1LobbLP8Ixl891+38efxsNH69SVRUxCBruE//Gj/GA3vCdy/xB8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bjtb4A&#10;AADbAAAADwAAAAAAAAABACAAAAAiAAAAZHJzL2Rvd25yZXYueG1sUEsBAhQAFAAAAAgAh07iQDMv&#10;BZ47AAAAOQAAABAAAAAAAAAAAQAgAAAADQEAAGRycy9zaGFwZXhtbC54bWxQSwUGAAAAAAYABgBb&#10;AQAAtwMAAAAA&#10;" adj="5400">
                  <v:fill on="t" focussize="0,0"/>
                  <v:stroke color="#000000" miterlimit="8" joinstyle="miter"/>
                  <v:imagedata o:title=""/>
                  <o:lock v:ext="edit" aspectratio="f"/>
                </v:shape>
              </v:group>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76672" behindDoc="0" locked="0" layoutInCell="1" allowOverlap="1">
                <wp:simplePos x="0" y="0"/>
                <wp:positionH relativeFrom="column">
                  <wp:posOffset>3747135</wp:posOffset>
                </wp:positionH>
                <wp:positionV relativeFrom="paragraph">
                  <wp:posOffset>6226175</wp:posOffset>
                </wp:positionV>
                <wp:extent cx="1504950" cy="1445895"/>
                <wp:effectExtent l="4445" t="4445" r="14605" b="16510"/>
                <wp:wrapNone/>
                <wp:docPr id="27" name="Rectangle 126"/>
                <wp:cNvGraphicFramePr/>
                <a:graphic xmlns:a="http://schemas.openxmlformats.org/drawingml/2006/main">
                  <a:graphicData uri="http://schemas.microsoft.com/office/word/2010/wordprocessingShape">
                    <wps:wsp>
                      <wps:cNvSpPr>
                        <a:spLocks noChangeArrowheads="1"/>
                      </wps:cNvSpPr>
                      <wps:spPr bwMode="auto">
                        <a:xfrm>
                          <a:off x="4890135" y="7338695"/>
                          <a:ext cx="1504950" cy="1445895"/>
                        </a:xfrm>
                        <a:prstGeom prst="rect">
                          <a:avLst/>
                        </a:prstGeom>
                        <a:solidFill>
                          <a:srgbClr val="FFFFFF"/>
                        </a:solidFill>
                        <a:ln w="9525">
                          <a:solidFill>
                            <a:srgbClr val="000000"/>
                          </a:solidFill>
                          <a:miter lim="800000"/>
                        </a:ln>
                      </wps:spPr>
                      <wps:txbx>
                        <w:txbxContent>
                          <w:p>
                            <w:pPr>
                              <w:jc w:val="both"/>
                              <w:rPr>
                                <w:sz w:val="21"/>
                                <w:szCs w:val="21"/>
                              </w:rPr>
                            </w:pPr>
                            <w:r>
                              <w:rPr>
                                <w:rFonts w:hint="eastAsia"/>
                                <w:sz w:val="21"/>
                                <w:szCs w:val="21"/>
                              </w:rPr>
                              <w:t>图例：</w:t>
                            </w:r>
                          </w:p>
                          <w:p>
                            <w:r>
                              <w:rPr>
                                <w:rFonts w:hint="eastAsia"/>
                              </w:rPr>
                              <w:t xml:space="preserve">   废气污染源</w:t>
                            </w:r>
                          </w:p>
                          <w:p>
                            <w:r>
                              <w:rPr>
                                <w:rFonts w:hint="eastAsia"/>
                              </w:rPr>
                              <w:t xml:space="preserve">   废水污染源</w:t>
                            </w:r>
                          </w:p>
                          <w:p>
                            <w:pPr>
                              <w:rPr>
                                <w:rFonts w:hint="eastAsia"/>
                              </w:rPr>
                            </w:pPr>
                            <w:r>
                              <w:rPr>
                                <w:rFonts w:hint="eastAsia"/>
                              </w:rPr>
                              <w:t xml:space="preserve">   噪声污染源</w:t>
                            </w:r>
                          </w:p>
                          <w:p>
                            <w:pPr>
                              <w:ind w:firstLine="420" w:firstLineChars="200"/>
                              <w:jc w:val="both"/>
                              <w:rPr>
                                <w:rFonts w:hint="eastAsia"/>
                                <w:sz w:val="21"/>
                                <w:szCs w:val="21"/>
                                <w:lang w:eastAsia="zh-CN"/>
                              </w:rPr>
                            </w:pPr>
                            <w:r>
                              <w:rPr>
                                <w:rFonts w:hint="eastAsia"/>
                                <w:sz w:val="21"/>
                                <w:szCs w:val="21"/>
                                <w:lang w:eastAsia="zh-CN"/>
                              </w:rPr>
                              <w:t>固废暂存间</w:t>
                            </w:r>
                          </w:p>
                        </w:txbxContent>
                      </wps:txbx>
                      <wps:bodyPr rot="0" vert="horz" wrap="square" lIns="91440" tIns="45720" rIns="91440" bIns="45720" anchor="t" anchorCtr="0" upright="1">
                        <a:noAutofit/>
                      </wps:bodyPr>
                    </wps:wsp>
                  </a:graphicData>
                </a:graphic>
              </wp:anchor>
            </w:drawing>
          </mc:Choice>
          <mc:Fallback>
            <w:pict>
              <v:rect id="Rectangle 126" o:spid="_x0000_s1026" o:spt="1" style="position:absolute;left:0pt;margin-left:295.05pt;margin-top:490.25pt;height:113.85pt;width:118.5pt;z-index:251676672;mso-width-relative:page;mso-height-relative:page;" fillcolor="#FFFFFF" filled="t" stroked="t" coordsize="21600,21600" o:gfxdata="UEsDBAoAAAAAAIdO4kAAAAAAAAAAAAAAAAAEAAAAZHJzL1BLAwQUAAAACACHTuJAm+jdoNkAAAAM&#10;AQAADwAAAGRycy9kb3ducmV2LnhtbE2PsU7DMBCGdyTewTokNmrHqJCEOB1ArcTYpgvbJTZJILaj&#10;2GlTnp5jouPdffrv+4vNYgd2MlPovVOQrAQw4xqve9cqOFbbhxRYiOg0Dt4ZBRcTYFPe3hSYa392&#10;e3M6xJZRiAs5KuhiHHPOQ9MZi2HlR+Po9ukni5HGqeV6wjOF24FLIZ64xd7Rhw5H89qZ5vswWwV1&#10;L4/4s692wmbbx/i+VF/zx5tS93eJeAEWzRL/YfjTJ3Uoyan2s9OBDQrWmUgIVZClYg2MiFQ+06Ym&#10;VIpUAi8Lfl2i/AVQSwMEFAAAAAgAh07iQCTFCkUjAgAAPwQAAA4AAABkcnMvZTJvRG9jLnhtbK1T&#10;247TMBB9R+IfLL/TXNr0EtVdrboqQlrYFQsf4DhOY+HYZuw2LV/PxOkuXeAJkQfLEx8fzzkzs745&#10;dZocJXhlDaPZJKVEGmFrZfaMfv2ye7ekxAduaq6tkYyepac3m7dv1r0rZW5bq2sJBEmML3vHaBuC&#10;K5PEi1Z23E+skwYPGwsdDxjCPqmB98je6SRP03nSW6gdWCG9x7934yHdRP6mkSI8NI2XgWhGMbcQ&#10;V4hrNazJZs3LPXDXKnFJg/9DFh1XBh99obrjgZMDqD+oOiXAetuEibBdYptGCRk1oJos/U3NU8ud&#10;jFrQHO9ebPL/j1Z8Oj4CUTWj+YISwzus0Wd0jZu9liTL54NDvfMlAp/cIwwavbu34psnxm5bxMlb&#10;ANu3kteYVzbgk1cXhsDjVVL1H22N/PwQbDTr1EA3EKIN5MTobLlKs2lByZnRxXS6nK+KsT7yFIhA&#10;QFaks1WBZRSIyGazYjkiEl4+Uznw4b20HRk2jAJKiU/x470PQ2q8fIZEKVareqe0jgHsq60GcuTY&#10;LLv4RTWo+BqmDekZXRV5EZlfnflrijR+f6PoVMCu16pjdHkN0uZi3uDX6Hs4VadLCSpbn9FGsGMX&#10;49ThprXwg5IeO5hR//3AQVKiPxgsxQodGlo+BrNikWMA1yfV9Qk3AqkYDZSM220Yx+TgQO1bfCmL&#10;co29xfI1Kpo5lHbM6pI3dmn0+DJRwxhcxxH1a+43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6N2g2QAAAAwBAAAPAAAAAAAAAAEAIAAAACIAAABkcnMvZG93bnJldi54bWxQSwECFAAUAAAACACH&#10;TuJAJMUKRSMCAAA/BAAADgAAAAAAAAABACAAAAAoAQAAZHJzL2Uyb0RvYy54bWxQSwUGAAAAAAYA&#10;BgBZAQAAvQUAAAAA&#10;">
                <v:fill on="t" focussize="0,0"/>
                <v:stroke color="#000000" miterlimit="8" joinstyle="miter"/>
                <v:imagedata o:title=""/>
                <o:lock v:ext="edit" aspectratio="f"/>
                <v:textbox>
                  <w:txbxContent>
                    <w:p>
                      <w:pPr>
                        <w:jc w:val="both"/>
                        <w:rPr>
                          <w:sz w:val="21"/>
                          <w:szCs w:val="21"/>
                        </w:rPr>
                      </w:pPr>
                      <w:r>
                        <w:rPr>
                          <w:rFonts w:hint="eastAsia"/>
                          <w:sz w:val="21"/>
                          <w:szCs w:val="21"/>
                        </w:rPr>
                        <w:t>图例：</w:t>
                      </w:r>
                    </w:p>
                    <w:p>
                      <w:r>
                        <w:rPr>
                          <w:rFonts w:hint="eastAsia"/>
                        </w:rPr>
                        <w:t xml:space="preserve">   废气污染源</w:t>
                      </w:r>
                    </w:p>
                    <w:p>
                      <w:r>
                        <w:rPr>
                          <w:rFonts w:hint="eastAsia"/>
                        </w:rPr>
                        <w:t xml:space="preserve">   废水污染源</w:t>
                      </w:r>
                    </w:p>
                    <w:p>
                      <w:pPr>
                        <w:rPr>
                          <w:rFonts w:hint="eastAsia"/>
                        </w:rPr>
                      </w:pPr>
                      <w:r>
                        <w:rPr>
                          <w:rFonts w:hint="eastAsia"/>
                        </w:rPr>
                        <w:t xml:space="preserve">   噪声污染源</w:t>
                      </w:r>
                    </w:p>
                    <w:p>
                      <w:pPr>
                        <w:ind w:firstLine="420" w:firstLineChars="200"/>
                        <w:jc w:val="both"/>
                        <w:rPr>
                          <w:rFonts w:hint="eastAsia"/>
                          <w:sz w:val="21"/>
                          <w:szCs w:val="21"/>
                          <w:lang w:eastAsia="zh-CN"/>
                        </w:rPr>
                      </w:pPr>
                      <w:r>
                        <w:rPr>
                          <w:rFonts w:hint="eastAsia"/>
                          <w:sz w:val="21"/>
                          <w:szCs w:val="21"/>
                          <w:lang w:eastAsia="zh-CN"/>
                        </w:rPr>
                        <w:t>固废暂存间</w:t>
                      </w:r>
                    </w:p>
                  </w:txbxContent>
                </v:textbox>
              </v:rect>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82816" behindDoc="0" locked="0" layoutInCell="1" allowOverlap="1">
                <wp:simplePos x="0" y="0"/>
                <wp:positionH relativeFrom="column">
                  <wp:posOffset>1012190</wp:posOffset>
                </wp:positionH>
                <wp:positionV relativeFrom="paragraph">
                  <wp:posOffset>6572885</wp:posOffset>
                </wp:positionV>
                <wp:extent cx="84455" cy="95250"/>
                <wp:effectExtent l="12700" t="0" r="17145" b="26670"/>
                <wp:wrapNone/>
                <wp:docPr id="42" name="矩形 42"/>
                <wp:cNvGraphicFramePr/>
                <a:graphic xmlns:a="http://schemas.openxmlformats.org/drawingml/2006/main">
                  <a:graphicData uri="http://schemas.microsoft.com/office/word/2010/wordprocessingShape">
                    <wps:wsp>
                      <wps:cNvSpPr/>
                      <wps:spPr>
                        <a:xfrm>
                          <a:off x="2101850" y="7487920"/>
                          <a:ext cx="84455" cy="9525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7pt;margin-top:517.55pt;height:7.5pt;width:6.65pt;z-index:251682816;v-text-anchor:middle;mso-width-relative:page;mso-height-relative:page;" filled="f" stroked="t" coordsize="21600,21600" o:gfxdata="UEsDBAoAAAAAAIdO4kAAAAAAAAAAAAAAAAAEAAAAZHJzL1BLAwQUAAAACACHTuJAUuB9j9kAAAAN&#10;AQAADwAAAGRycy9kb3ducmV2LnhtbE2PzU7DMBCE70i8g7VI3KidhtA2xOkBCYlDkaDtA7jxNomI&#10;15Ht/r09mxPcdnZHs99U66sbxBlD7D1pyGYKBFLjbU+thv3u/WkJIiZD1gyeUMMNI6zr+7vKlNZf&#10;6BvP29QKDqFYGg1dSmMpZWw6dCbO/IjEt6MPziSWoZU2mAuHu0HOlXqRzvTEHzoz4luHzc/25DS4&#10;TbMK6aPN91/58rbpd0ke3afWjw+ZegWR8Jr+zDDhMzrUzHTwJ7JRDKyL1TNbeVB5kYGYLIv5AsRh&#10;WhUqA1lX8n+L+hdQSwMEFAAAAAgAh07iQNTyDqZOAgAAcQQAAA4AAABkcnMvZTJvRG9jLnhtbK1U&#10;S27bMBDdF+gdCO4byYbcOEbkwE3gokDQBEiLrscUaQngr0PacnqZAt31ED1O0Wt0SMlJ+lkV3VBD&#10;zuN8Ht/o/OJgNNtLDJ2zNZ+clJxJK1zT2W3N379bv5hzFiLYBrSzsub3MvCL5fNn571fyKlrnW4k&#10;Mgpiw6L3NW9j9IuiCKKVBsKJ89KSUzk0EGmL26JB6Cm60cW0LF8WvcPGoxMyBDq9Gpx8meMrJUW8&#10;USrIyHTNqbaYV8zrJq3F8hwWWwTfdmIsA/6hCgOdpaQPoa4gAtth90co0wl0wal4IpwpnFKdkLkH&#10;6mZS/tbNXQte5l6InOAfaAr/L6x4u79F1jU1r6acWTD0Rj8+f/3+7QujA2Kn92FBoDt/i+MukJla&#10;PSg06UtNsEPNp5NyMp8Rx/c1P63mp2fTkV15iEwQYF5VsxlngvxnsykhKV7xGMZjiK+lMywZNUd6&#10;uswo7K9DHKBHSMpq3brTms5hoS3rKf+sKim7AFKR0hDJNJ76CnbLGegtyVNEzCGD012TrqfbAbeb&#10;S41sD0ki5atyfazsF1jKfQWhHXDZNTagLfWRaBqISdbGNfdEK7pBb8GLdUf3ryHEW0ASGBVKQxNv&#10;aFHaUfVutDhrHX7623nC07uTl7OeBEudfdwBSs70G0uKOJtUVVJ43lSzU6Kf4VPP5qnH7sylo4Yn&#10;NJ5eZDPhoz6aCp35QLO1SlnJBVZQ7oHDcXMZh0Gi6RRytcowUrWHeG3vvEjBh5da7aJTXX7ER3ZG&#10;0kjXWQbjDKbBebrPqMc/xfI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uB9j9kAAAANAQAADwAA&#10;AAAAAAABACAAAAAiAAAAZHJzL2Rvd25yZXYueG1sUEsBAhQAFAAAAAgAh07iQNTyDqZOAgAAcQQA&#10;AA4AAAAAAAAAAQAgAAAAKAEAAGRycy9lMm9Eb2MueG1sUEsFBgAAAAAGAAYAWQEAAOgFAAAAAA==&#10;">
                <v:fill on="f" focussize="0,0"/>
                <v:stroke weight="2pt" color="#00B0F0 [3204]" joinstyle="round"/>
                <v:imagedata o:title=""/>
                <o:lock v:ext="edit" aspectratio="f"/>
              </v:rect>
            </w:pict>
          </mc:Fallback>
        </mc:AlternateContent>
      </w:r>
      <w:r>
        <w:rPr>
          <w:rFonts w:hint="default" w:ascii="Times New Roman" w:hAnsi="Times New Roman" w:cs="Times New Roman"/>
          <w:b/>
          <w:bCs/>
          <w:color w:val="auto"/>
          <w:szCs w:val="24"/>
        </w:rPr>
        <mc:AlternateContent>
          <mc:Choice Requires="wps">
            <w:drawing>
              <wp:anchor distT="0" distB="0" distL="114300" distR="114300" simplePos="0" relativeHeight="251687936" behindDoc="0" locked="0" layoutInCell="1" allowOverlap="1">
                <wp:simplePos x="0" y="0"/>
                <wp:positionH relativeFrom="column">
                  <wp:posOffset>1892300</wp:posOffset>
                </wp:positionH>
                <wp:positionV relativeFrom="paragraph">
                  <wp:posOffset>3425825</wp:posOffset>
                </wp:positionV>
                <wp:extent cx="1143000" cy="323850"/>
                <wp:effectExtent l="0" t="0" r="0" b="0"/>
                <wp:wrapNone/>
                <wp:docPr id="47" name="矩形 121"/>
                <wp:cNvGraphicFramePr/>
                <a:graphic xmlns:a="http://schemas.openxmlformats.org/drawingml/2006/main">
                  <a:graphicData uri="http://schemas.microsoft.com/office/word/2010/wordprocessingShape">
                    <wps:wsp>
                      <wps:cNvSpPr>
                        <a:spLocks noChangeArrowheads="1"/>
                      </wps:cNvSpPr>
                      <wps:spPr bwMode="auto">
                        <a:xfrm rot="21060000">
                          <a:off x="0" y="0"/>
                          <a:ext cx="1143000" cy="323850"/>
                        </a:xfrm>
                        <a:prstGeom prst="rect">
                          <a:avLst/>
                        </a:prstGeom>
                        <a:noFill/>
                        <a:ln>
                          <a:noFill/>
                        </a:ln>
                      </wps:spPr>
                      <wps:txbx>
                        <w:txbxContent>
                          <w:p>
                            <w:pPr>
                              <w:rPr>
                                <w:rFonts w:hint="eastAsia" w:eastAsia="宋体"/>
                                <w:color w:val="00B0F0"/>
                                <w:sz w:val="21"/>
                                <w:szCs w:val="21"/>
                                <w:lang w:eastAsia="zh-CN"/>
                              </w:rPr>
                            </w:pPr>
                            <w:r>
                              <w:rPr>
                                <w:rFonts w:hint="eastAsia"/>
                                <w:color w:val="00B0F0"/>
                                <w:sz w:val="21"/>
                                <w:szCs w:val="21"/>
                                <w:lang w:eastAsia="zh-CN"/>
                              </w:rPr>
                              <w:t>搅拌池</w:t>
                            </w:r>
                          </w:p>
                        </w:txbxContent>
                      </wps:txbx>
                      <wps:bodyPr rot="0" vert="horz" wrap="square" lIns="91440" tIns="45720" rIns="91440" bIns="45720" anchor="t" anchorCtr="0" upright="1">
                        <a:noAutofit/>
                      </wps:bodyPr>
                    </wps:wsp>
                  </a:graphicData>
                </a:graphic>
              </wp:anchor>
            </w:drawing>
          </mc:Choice>
          <mc:Fallback>
            <w:pict>
              <v:rect id="矩形 121" o:spid="_x0000_s1026" o:spt="1" style="position:absolute;left:0pt;margin-left:149pt;margin-top:269.75pt;height:25.5pt;width:90pt;rotation:-589824f;z-index:251687936;mso-width-relative:page;mso-height-relative:page;" filled="f" stroked="f" coordsize="21600,21600" o:gfxdata="UEsDBAoAAAAAAIdO4kAAAAAAAAAAAAAAAAAEAAAAZHJzL1BLAwQUAAAACACHTuJAQfvUGtoAAAAL&#10;AQAADwAAAGRycy9kb3ducmV2LnhtbE2PwU7DMBBE70j8g7VI3KjdhNAkxKkqEJU49EBAnN14iQOx&#10;HcVuU/h6tic47uxo5k21PtmBHXEKvXcSlgsBDF3rde86CW+vTzc5sBCV02rwDiV8Y4B1fXlRqVL7&#10;2b3gsYkdoxAXSiXBxDiWnIfWoFVh4Ud09Pvwk1WRzqnjelIzhduBJ0Lccat6Rw1GjfhgsP1qDlbC&#10;Kt3M+Wb82aJJm/e43T02z8mnlNdXS3EPLOIp/pnhjE/oUBPT3h+cDmyQkBQ5bYkSsrTIgJHjdnVW&#10;9qQUIgNeV/z/hvoXUEsDBBQAAAAIAIdO4kBomQuX/gEAAMwDAAAOAAAAZHJzL2Uyb0RvYy54bWyt&#10;U1tu1DAU/UdiD5b/mTwmfRBNpqpaFSEVqNSyAMdxJhaJr7n2TDJsBom/LoLlILbRa88wTOEPkQ8r&#10;95Hjc869WVxMQ882Cp0GU/FslnKmjIRGm1XFPz7cvDrnzHlhGtGDURXfKscvli9fLEZbqhw66BuF&#10;jECMK0db8c57WyaJk50ahJuBVYaKLeAgPIW4ShoUI6EPfZKn6WkyAjYWQSrnKHu9K/JlxG9bJf2H&#10;tnXKs77ixM3HE+NZhzNZLkS5QmE7Lfc0xD+wGIQ2dOkB6lp4wdao/4IatERw0PqZhCGBttVSRQ2k&#10;Jkv/UHPfCauiFjLH2YNN7v/ByvebO2S6qXhxxpkRA83o59fHH9+/sSzPgj2jdSV13ds7DAKdvQX5&#10;yTEDV50wK3WJCGOnREOkYn/y7IMQOPqU1eM7aAhcrD1Ep6YWB4ZAE8mz9DSlJ6bJEjbF+WwP81GT&#10;Z5KSWVbMQx+TVJvn8/OTOMBElAEssLPo/BsFAwsvFUeaf0QVm1vnSQy1/moJ7QZudN/HHejNswQ1&#10;hkwUE/jvfPBTPe0tqaHZkqwogBjRL0D3dYBfOBtpnSruPq8FKs76t4aseZ0VRdi/GBQnZzkFeFyp&#10;jyvCSIKquOds93rldzu7tqhXHd2URVkGLsnOVkdpweodqz1vWpmoeL/eYSeP49j1+ydcP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B+9Qa2gAAAAsBAAAPAAAAAAAAAAEAIAAAACIAAABkcnMvZG93&#10;bnJldi54bWxQSwECFAAUAAAACACHTuJAaJkLl/4BAADMAwAADgAAAAAAAAABACAAAAApAQAAZHJz&#10;L2Uyb0RvYy54bWxQSwUGAAAAAAYABgBZAQAAmQUAAAAA&#10;">
                <v:fill on="f" focussize="0,0"/>
                <v:stroke on="f"/>
                <v:imagedata o:title=""/>
                <o:lock v:ext="edit" aspectratio="f"/>
                <v:textbox>
                  <w:txbxContent>
                    <w:p>
                      <w:pPr>
                        <w:rPr>
                          <w:rFonts w:hint="eastAsia" w:eastAsia="宋体"/>
                          <w:color w:val="00B0F0"/>
                          <w:sz w:val="21"/>
                          <w:szCs w:val="21"/>
                          <w:lang w:eastAsia="zh-CN"/>
                        </w:rPr>
                      </w:pPr>
                      <w:r>
                        <w:rPr>
                          <w:rFonts w:hint="eastAsia"/>
                          <w:color w:val="00B0F0"/>
                          <w:sz w:val="21"/>
                          <w:szCs w:val="21"/>
                          <w:lang w:eastAsia="zh-CN"/>
                        </w:rPr>
                        <w:t>搅拌池</w:t>
                      </w:r>
                    </w:p>
                  </w:txbxContent>
                </v:textbox>
              </v:rect>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86912" behindDoc="0" locked="0" layoutInCell="1" allowOverlap="1">
                <wp:simplePos x="0" y="0"/>
                <wp:positionH relativeFrom="column">
                  <wp:posOffset>2033905</wp:posOffset>
                </wp:positionH>
                <wp:positionV relativeFrom="paragraph">
                  <wp:posOffset>3695065</wp:posOffset>
                </wp:positionV>
                <wp:extent cx="323215" cy="203835"/>
                <wp:effectExtent l="31750" t="46355" r="45085" b="54610"/>
                <wp:wrapNone/>
                <wp:docPr id="46" name="矩形 46"/>
                <wp:cNvGraphicFramePr/>
                <a:graphic xmlns:a="http://schemas.openxmlformats.org/drawingml/2006/main">
                  <a:graphicData uri="http://schemas.microsoft.com/office/word/2010/wordprocessingShape">
                    <wps:wsp>
                      <wps:cNvSpPr/>
                      <wps:spPr>
                        <a:xfrm rot="20820000">
                          <a:off x="0" y="0"/>
                          <a:ext cx="323215" cy="20383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0.15pt;margin-top:290.95pt;height:16.05pt;width:25.45pt;rotation:-851968f;z-index:251686912;v-text-anchor:middle;mso-width-relative:page;mso-height-relative:page;" filled="f" stroked="t" coordsize="21600,21600" o:gfxdata="UEsDBAoAAAAAAIdO4kAAAAAAAAAAAAAAAAAEAAAAZHJzL1BLAwQUAAAACACHTuJAWIFSStoAAAAL&#10;AQAADwAAAGRycy9kb3ducmV2LnhtbE2Py07DMBBF90j8gzVI7KjtBEobMqkA8ZBgRWDB0o2HJDQe&#10;R7H7+nvMCpaje3TvmXJ1cIPY0RR6zwh6pkAQN9723CJ8vD9eLECEaNiawTMhHCnAqjo9KU1h/Z7f&#10;aFfHVqQSDoVB6GIcCylD05EzYeZH4pR9+cmZmM6plXYy+1TuBpkpNZfO9JwWOjPSfUfNpt46hHHp&#10;7h6+b18/c318etmoNquftUM8P9PqBkSkQ/yD4Vc/qUOVnNZ+yzaIASHPVJ5QhKuFXoJIRH6tMxBr&#10;hLm+VCCrUv7/ofoBUEsDBBQAAAAIAIdO4kAGc0JiTgIAAHYEAAAOAAAAZHJzL2Uyb0RvYy54bWyt&#10;VNtu00AQfUfiH1b7Tu04SSlRnSq0CkKqaKWCeJ6sd2NLe2N2E6f8DBJv/Qg+B/EbzK7dC5cnxMtq&#10;bj4zc2bGp2cHo9leYuicrfnkqORMWuGazm5r/uH9+sUJZyGCbUA7K2t+KwM/Wz5/dtr7haxc63Qj&#10;kRGIDYve17yN0S+KIohWGghHzktLTuXQQCQVt0WD0BO60UVVlsdF77Dx6IQMgawXg5MvM75SUsQr&#10;pYKMTNecaov5xfxu0lssT2GxRfBtJ8Yy4B+qMNBZSvoAdQER2A67P6BMJ9AFp+KRcKZwSnVC5h6o&#10;m0n5Wzc3LXiZeyFygn+gKfw/WPFuf42sa2o+O+bMgqEZ/fhy9/3bV0YGYqf3YUFBN/4aRy2QmFo9&#10;KDQMHVFalSc0i7LMDFBP7JAJvn0gWB4iE2ScVtNqMudMkKsqpyfTeUpRDFgJ02OIb6QzLAk1R5pf&#10;BoX9ZYhD6H1ICrdu3WlNdlhoy3oCnc+oDCaAVklpiCQaT80Fu+UM9JZ2VETMkMHprkmfp68Dbjfn&#10;Gtke0p6Ur8t1Xg2q7JewlPsCQjvEZdfYgLbUR+JqYCdJG9fcEreZIaopeLHu6PtLCPEakLaMjHQ5&#10;8YoepR1V70aJs9bh57/ZUzwNn7yc9bS11NmnHaDkTL+1tBavJrNZWvOszOYvK1LwqWfz1GN35txR&#10;w5NcXRZTfNT3okJnPtKBrVJWcoEVlHvgcFTO43BNdKJCrlY5jFbbQ7y0N14k8GFSq110qstDfGRn&#10;JI2WO6/BeIjpep7qOerxd7H8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iBUkraAAAACwEAAA8A&#10;AAAAAAAAAQAgAAAAIgAAAGRycy9kb3ducmV2LnhtbFBLAQIUABQAAAAIAIdO4kAGc0JiTgIAAHYE&#10;AAAOAAAAAAAAAAEAIAAAACkBAABkcnMvZTJvRG9jLnhtbFBLBQYAAAAABgAGAFkBAADpBQAAAAA=&#10;">
                <v:fill on="f" focussize="0,0"/>
                <v:stroke weight="2pt" color="#00B0F0 [3204]" joinstyle="round"/>
                <v:imagedata o:title=""/>
                <o:lock v:ext="edit" aspectratio="f"/>
              </v:rect>
            </w:pict>
          </mc:Fallback>
        </mc:AlternateContent>
      </w:r>
      <w:r>
        <w:rPr>
          <w:rFonts w:hint="default" w:ascii="Times New Roman" w:hAnsi="Times New Roman" w:cs="Times New Roman"/>
          <w:b/>
          <w:bCs/>
          <w:color w:val="auto"/>
          <w:szCs w:val="24"/>
        </w:rPr>
        <mc:AlternateContent>
          <mc:Choice Requires="wps">
            <w:drawing>
              <wp:anchor distT="0" distB="0" distL="114300" distR="114300" simplePos="0" relativeHeight="251675648" behindDoc="0" locked="0" layoutInCell="1" allowOverlap="1">
                <wp:simplePos x="0" y="0"/>
                <wp:positionH relativeFrom="column">
                  <wp:posOffset>2442845</wp:posOffset>
                </wp:positionH>
                <wp:positionV relativeFrom="paragraph">
                  <wp:posOffset>4627245</wp:posOffset>
                </wp:positionV>
                <wp:extent cx="182880" cy="127635"/>
                <wp:effectExtent l="26670" t="16510" r="28575" b="17780"/>
                <wp:wrapNone/>
                <wp:docPr id="65" name="AutoShape 145"/>
                <wp:cNvGraphicFramePr/>
                <a:graphic xmlns:a="http://schemas.openxmlformats.org/drawingml/2006/main">
                  <a:graphicData uri="http://schemas.microsoft.com/office/word/2010/wordprocessingShape">
                    <wps:wsp>
                      <wps:cNvSpPr>
                        <a:spLocks noChangeArrowheads="1"/>
                      </wps:cNvSpPr>
                      <wps:spPr bwMode="auto">
                        <a:xfrm>
                          <a:off x="0" y="0"/>
                          <a:ext cx="182880" cy="127635"/>
                        </a:xfrm>
                        <a:prstGeom prst="sun">
                          <a:avLst>
                            <a:gd name="adj" fmla="val 25000"/>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AutoShape 145" o:spid="_x0000_s1026" o:spt="183" type="#_x0000_t183" style="position:absolute;left:0pt;margin-left:192.35pt;margin-top:364.35pt;height:10.05pt;width:14.4pt;z-index:251675648;mso-width-relative:page;mso-height-relative:page;" fillcolor="#FFC000" filled="t" stroked="t" coordsize="21600,21600" o:gfxdata="UEsDBAoAAAAAAIdO4kAAAAAAAAAAAAAAAAAEAAAAZHJzL1BLAwQUAAAACACHTuJA+7PNSdwAAAAL&#10;AQAADwAAAGRycy9kb3ducmV2LnhtbE2PTU+DQBCG7yb+h82YeGnsLi2WDbI0aqKJ9SRtTI9bWIHI&#10;zhJ2gfbfO570Nh9P3nkm255txyYz+NahgmgpgBksXdVireCwf7mTwHzQWOnOoVFwMR62+fVVptPK&#10;zfhhpiLUjELQp1pBE0Kfcu7Lxljtl643SLsvN1gdqB1qXg16pnDb8ZUQG251i3Sh0b15bkz5XYxW&#10;wXEsxNu0eC/KJFq8zk+XzePxc6fU7U0kHoAFcw5/MPzqkzrk5HRyI1aedQrWMk4IVZCsJBVExNH6&#10;HtiJJrGUwPOM//8h/wFQSwMEFAAAAAgAh07iQDJYIDUeAgAAUQQAAA4AAABkcnMvZTJvRG9jLnht&#10;bK1U227bMAx9H7B/EPS++LIkTY04RZEiw4BuLdDtAxRZtrXpNkqJk339aDlJnQ17GfYikCZ5xMMj&#10;enl30IrsBXhpTUmzSUqJMNxW0jQl/fpl825BiQ/MVExZI0p6FJ7erd6+WXauELltraoEEAQxvuhc&#10;SdsQXJEknrdCMz+xThgM1hY0C+hCk1TAOkTXKsnTdJ50FioHlgvv8evDEKSriF/XgoenuvYiEFVS&#10;7C3EE+K57c9ktWRFA8y1kp/aYP/QhWbS4KUXqAcWGNmB/ANKSw7W2zpMuNWJrWvJReSAbLL0NzYv&#10;LXMicsHheHcZk/9/sPzz/hmIrEo6n1FimEaN7nfBxqtJNp31E+qcLzDxxT1Dz9G7R8u/e2LsumWm&#10;EfcAtmsFq7CvrM9Prgp6x2Mp2XafbIX4DPHjsA416B4Qx0AOUZPjRRNxCITjx2yRLxaoHMdQlt/M&#10;38eOElacix348EFYTXqjpH43CMH2jz5ERaoTLVZ9o6TWCvXdM0XyWZpG/RHrlIzWGS3ytEpWG6lU&#10;dKDZrhUQLC3pZrN+LfbjNGVIV9LbWT6LDK9ifgyB9X+B0DLgSiipS7oYJylzmmw/zEGUra2OOFiw&#10;w7vGPUSjtfCTkg7fNE7jx46BoER9NCjObTad9ksQnensJkcHxpHtOMIMR6iSBkoGcx2Gxdk5kE2L&#10;N2WRo7H9g6llOCs/dHVqFt8tWleLMfZj1uufYP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PN&#10;SdwAAAALAQAADwAAAAAAAAABACAAAAAiAAAAZHJzL2Rvd25yZXYueG1sUEsBAhQAFAAAAAgAh07i&#10;QDJYIDUeAgAAUQQAAA4AAAAAAAAAAQAgAAAAKwEAAGRycy9lMm9Eb2MueG1sUEsFBgAAAAAGAAYA&#10;WQEAALsFAAAAAA==&#10;" adj="5400">
                <v:fill on="t" focussize="0,0"/>
                <v:stroke color="#000000" miterlimit="8" joinstyle="miter"/>
                <v:imagedata o:title=""/>
                <o:lock v:ext="edit" aspectratio="f"/>
              </v:shape>
            </w:pict>
          </mc:Fallback>
        </mc:AlternateContent>
      </w:r>
      <w:r>
        <w:rPr>
          <w:rFonts w:hint="default" w:ascii="Times New Roman" w:hAnsi="Times New Roman" w:cs="Times New Roman"/>
          <w:b/>
          <w:bCs/>
          <w:color w:val="auto"/>
          <w:szCs w:val="24"/>
        </w:rPr>
        <mc:AlternateContent>
          <mc:Choice Requires="wps">
            <w:drawing>
              <wp:anchor distT="0" distB="0" distL="114300" distR="114300" simplePos="0" relativeHeight="251664384" behindDoc="0" locked="0" layoutInCell="1" allowOverlap="1">
                <wp:simplePos x="0" y="0"/>
                <wp:positionH relativeFrom="column">
                  <wp:posOffset>2169160</wp:posOffset>
                </wp:positionH>
                <wp:positionV relativeFrom="paragraph">
                  <wp:posOffset>4587240</wp:posOffset>
                </wp:positionV>
                <wp:extent cx="171450" cy="161925"/>
                <wp:effectExtent l="9525" t="6350" r="9525" b="12700"/>
                <wp:wrapNone/>
                <wp:docPr id="25" name="Oval 133"/>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00"/>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Oval 133" o:spid="_x0000_s1026" o:spt="3" type="#_x0000_t3" style="position:absolute;left:0pt;margin-left:170.8pt;margin-top:361.2pt;height:12.75pt;width:13.5pt;z-index:251664384;mso-width-relative:page;mso-height-relative:page;" fillcolor="#FFFF00" filled="t" stroked="t" coordsize="21600,21600" o:gfxdata="UEsDBAoAAAAAAIdO4kAAAAAAAAAAAAAAAAAEAAAAZHJzL1BLAwQUAAAACACHTuJALb1UPtgAAAAL&#10;AQAADwAAAGRycy9kb3ducmV2LnhtbE2Py07DMBBF90j8gzVIbBB1XkrTEKdSkVjAClLE2o2nSSB+&#10;yHZff8+wosu5c3TnTLM+65kd0YfJGgHpIgGGprdqMoOAz+3LYwUsRGmUnK1BARcMsG5vbxpZK3sy&#10;H3js4sCoxIRaChhjdDXnoR9Ry7CwDg3t9tZrGWn0A1denqhczzxLkpJrORm6MEqHzyP2P91BC9DF&#10;5uFdv21z3PSOd5fKfX37VyHu79LkCVjEc/yH4U+f1KElp509GBXYLCAv0pJQAcssK4ARkZcVJTtK&#10;iuUKeNvw6x/aX1BLAwQUAAAACACHTuJA+HJLhwkCAAAXBAAADgAAAGRycy9lMm9Eb2MueG1srVPB&#10;btswDL0P2D8Iui+206RdjDhFkSLDgG4t0O0DFFm2hcmiRilxsq8fJadZugE7DNNBEEXq8fGRWt4e&#10;esP2Cr0GW/FiknOmrIRa27biX79s3r3nzAdha2HAqooflee3q7dvloMr1RQ6MLVCRiDWl4OreBeC&#10;K7PMy071wk/AKUvOBrAXgUxssxrFQOi9yaZ5fp0NgLVDkMp7ur0fnXyV8JtGyfDYNF4FZipO3ELa&#10;Me3buGerpShbFK7T8kRD/AOLXmhLSc9Q9yIItkP9B1SvJYKHJkwk9Bk0jZYq1UDVFPlv1Tx3wqlU&#10;C4nj3Vkm//9g5ef9EzJdV3w658yKnnr0uBeGFVdXUZzB+ZJint0TxvK8ewD5zTML607YVt0hwtAp&#10;UROlIsZnrx5Ew9NTth0+QU3QYhcg6XRosI+ApAA7pHYcz+1Qh8AkXRY3xWxOTZPkKq6LBTGMGUT5&#10;8tihDx8U9CweKq6M0c5HwUQp9g8+jNEvUYk/GF1vtDHJwHa7Nsio3IpvaOVpHiiBvwwzlg0VX8wp&#10;/d8h8rROHF9BIOxsPbIx9iRS1GXUdwv1kTRCGKeTfhMdOsAfnA00mRX333cCFWfmoyWdF8VsFkc5&#10;GbP5zZQMvPRsLz3CSoKqeOBsPK7DOP47h7rtKFORyrJwR71pdBIt9m1kdSJL05eUP/2UON6Xdor6&#10;9Z9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tvVQ+2AAAAAsBAAAPAAAAAAAAAAEAIAAAACIA&#10;AABkcnMvZG93bnJldi54bWxQSwECFAAUAAAACACHTuJA+HJLhwkCAAAXBAAADgAAAAAAAAABACAA&#10;AAAnAQAAZHJzL2Uyb0RvYy54bWxQSwUGAAAAAAYABgBZAQAAogUAAAAA&#10;">
                <v:fill on="t" focussize="0,0"/>
                <v:stroke color="#000000" joinstyle="round"/>
                <v:imagedata o:title=""/>
                <o:lock v:ext="edit" aspectratio="f"/>
              </v:shape>
            </w:pict>
          </mc:Fallback>
        </mc:AlternateContent>
      </w:r>
      <w:r>
        <w:rPr>
          <w:rFonts w:hint="default" w:ascii="Times New Roman" w:hAnsi="Times New Roman" w:cs="Times New Roman"/>
          <w:b/>
          <w:bCs/>
          <w:color w:val="auto"/>
          <w:szCs w:val="24"/>
        </w:rPr>
        <mc:AlternateContent>
          <mc:Choice Requires="wps">
            <w:drawing>
              <wp:anchor distT="0" distB="0" distL="114300" distR="114300" simplePos="0" relativeHeight="251684864" behindDoc="0" locked="0" layoutInCell="1" allowOverlap="1">
                <wp:simplePos x="0" y="0"/>
                <wp:positionH relativeFrom="column">
                  <wp:posOffset>1158240</wp:posOffset>
                </wp:positionH>
                <wp:positionV relativeFrom="paragraph">
                  <wp:posOffset>4967605</wp:posOffset>
                </wp:positionV>
                <wp:extent cx="1143000" cy="323850"/>
                <wp:effectExtent l="0" t="0" r="0" b="0"/>
                <wp:wrapNone/>
                <wp:docPr id="45" name="矩形 121"/>
                <wp:cNvGraphicFramePr/>
                <a:graphic xmlns:a="http://schemas.openxmlformats.org/drawingml/2006/main">
                  <a:graphicData uri="http://schemas.microsoft.com/office/word/2010/wordprocessingShape">
                    <wps:wsp>
                      <wps:cNvSpPr>
                        <a:spLocks noChangeArrowheads="1"/>
                      </wps:cNvSpPr>
                      <wps:spPr bwMode="auto">
                        <a:xfrm rot="21060000">
                          <a:off x="0" y="0"/>
                          <a:ext cx="1143000" cy="323850"/>
                        </a:xfrm>
                        <a:prstGeom prst="rect">
                          <a:avLst/>
                        </a:prstGeom>
                        <a:noFill/>
                        <a:ln>
                          <a:noFill/>
                        </a:ln>
                      </wps:spPr>
                      <wps:txbx>
                        <w:txbxContent>
                          <w:p>
                            <w:pPr>
                              <w:rPr>
                                <w:rFonts w:hint="eastAsia" w:eastAsia="宋体"/>
                                <w:color w:val="00B0F0"/>
                                <w:sz w:val="21"/>
                                <w:szCs w:val="21"/>
                                <w:lang w:eastAsia="zh-CN"/>
                              </w:rPr>
                            </w:pPr>
                            <w:r>
                              <w:rPr>
                                <w:rFonts w:hint="eastAsia"/>
                                <w:color w:val="00B0F0"/>
                                <w:sz w:val="21"/>
                                <w:szCs w:val="21"/>
                                <w:lang w:eastAsia="zh-CN"/>
                              </w:rPr>
                              <w:t>沉淀池</w:t>
                            </w:r>
                          </w:p>
                        </w:txbxContent>
                      </wps:txbx>
                      <wps:bodyPr rot="0" vert="horz" wrap="square" lIns="91440" tIns="45720" rIns="91440" bIns="45720" anchor="t" anchorCtr="0" upright="1">
                        <a:noAutofit/>
                      </wps:bodyPr>
                    </wps:wsp>
                  </a:graphicData>
                </a:graphic>
              </wp:anchor>
            </w:drawing>
          </mc:Choice>
          <mc:Fallback>
            <w:pict>
              <v:rect id="矩形 121" o:spid="_x0000_s1026" o:spt="1" style="position:absolute;left:0pt;margin-left:91.2pt;margin-top:391.15pt;height:25.5pt;width:90pt;rotation:-589824f;z-index:251684864;mso-width-relative:page;mso-height-relative:page;" filled="f" stroked="f" coordsize="21600,21600" o:gfxdata="UEsDBAoAAAAAAIdO4kAAAAAAAAAAAAAAAAAEAAAAZHJzL1BLAwQUAAAACACHTuJAucHaHNgAAAAL&#10;AQAADwAAAGRycy9kb3ducmV2LnhtbE2PwU7DMAyG70i8Q2Qkbixdg0ZUmk4TiEkcOFAQ56w1TaFx&#10;qiZbB0+Pd2LH3/71+XO5PvpBHHCKfSADy0UGAqkJbU+dgfe3pxsNIiZLrR0CoYEfjLCuLi9KW7Rh&#10;plc81KkTDKFYWAMupbGQMjYOvY2LMCLx7jNM3iaOUyfbyc4M94PMs2wlve2JLzg74oPD5rveewN3&#10;ajPrzfi7Rafqj7R9eayf8y9jrq+W2T2IhMf0X4aTPqtDxU67sKc2ioGzzm+5yjCdKxDcUKvTZGdA&#10;K6VAVqU8/6H6A1BLAwQUAAAACACHTuJAOC/ut/4BAADMAwAADgAAAGRycy9lMm9Eb2MueG1srVPd&#10;btMwFL5H4h0s39P8NB1b1HSaNg0hDZi08QCu4yQWiY85dpuUl0HijofgcRCvwbFbSgd3iFxYOT/5&#10;/H3fOVleTkPPtgqdBlPxbJZypoyEWpu24u8fb1+cc+a8MLXowaiK75Tjl6vnz5ajLVUOHfS1QkYg&#10;xpWjrXjnvS2TxMlODcLNwCpDxQZwEJ5CbJMaxUjoQ5/kaXqWjIC1RZDKOcre7It8FfGbRkn/rmmc&#10;8qyvOHHz8cR4rsOZrJaibFHYTssDDfEPLAahDV16hLoRXrAN6r+gBi0RHDR+JmFIoGm0VFEDqcnS&#10;P9Q8dMKqqIXMcfZok/t/sPLt9h6ZriteLDgzYqAZ/fj89fu3LyzLs2DPaF1JXQ/2HoNAZ+9AfnDM&#10;wHUnTKuuEGHslKiJVOxPnnwQAkefsvX4BmoCFxsP0ampwYEh0ETyLD1L6YlpsoRNcT6743zU5Jmk&#10;ZJYV89DHJNXm+fx8EQeYiDKABXYWnX+lYGDhpeJI84+oYnvnPImh1l8tod3Are77uAO9eZKgxpCJ&#10;YgL/vQ9+Wk8HS9ZQ70hWFECM6Beg+zrAT5yNtE4Vdx83AhVn/WtD1lxkRRH2LwbF4mVOAZ5W1qcV&#10;YSRBVdxztn+99vud3VjUbUc3ZVGWgSuys9FRWrB6z+rAm1YmKj6sd9jJ0zh2/f4J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cHaHNgAAAALAQAADwAAAAAAAAABACAAAAAiAAAAZHJzL2Rvd25y&#10;ZXYueG1sUEsBAhQAFAAAAAgAh07iQDgv7rf+AQAAzAMAAA4AAAAAAAAAAQAgAAAAJwEAAGRycy9l&#10;Mm9Eb2MueG1sUEsFBgAAAAAGAAYAWQEAAJcFAAAAAA==&#10;">
                <v:fill on="f" focussize="0,0"/>
                <v:stroke on="f"/>
                <v:imagedata o:title=""/>
                <o:lock v:ext="edit" aspectratio="f"/>
                <v:textbox>
                  <w:txbxContent>
                    <w:p>
                      <w:pPr>
                        <w:rPr>
                          <w:rFonts w:hint="eastAsia" w:eastAsia="宋体"/>
                          <w:color w:val="00B0F0"/>
                          <w:sz w:val="21"/>
                          <w:szCs w:val="21"/>
                          <w:lang w:eastAsia="zh-CN"/>
                        </w:rPr>
                      </w:pPr>
                      <w:r>
                        <w:rPr>
                          <w:rFonts w:hint="eastAsia"/>
                          <w:color w:val="00B0F0"/>
                          <w:sz w:val="21"/>
                          <w:szCs w:val="21"/>
                          <w:lang w:eastAsia="zh-CN"/>
                        </w:rPr>
                        <w:t>沉淀池</w:t>
                      </w:r>
                    </w:p>
                  </w:txbxContent>
                </v:textbox>
              </v:rect>
            </w:pict>
          </mc:Fallback>
        </mc:AlternateContent>
      </w:r>
      <w:r>
        <w:rPr>
          <w:rFonts w:hint="default" w:ascii="Times New Roman" w:hAnsi="Times New Roman" w:cs="Times New Roman"/>
          <w:b/>
          <w:bCs/>
          <w:color w:val="auto"/>
          <w:szCs w:val="24"/>
        </w:rPr>
        <mc:AlternateContent>
          <mc:Choice Requires="wps">
            <w:drawing>
              <wp:anchor distT="0" distB="0" distL="114300" distR="114300" simplePos="0" relativeHeight="251685888" behindDoc="0" locked="0" layoutInCell="1" allowOverlap="1">
                <wp:simplePos x="0" y="0"/>
                <wp:positionH relativeFrom="column">
                  <wp:posOffset>1313815</wp:posOffset>
                </wp:positionH>
                <wp:positionV relativeFrom="paragraph">
                  <wp:posOffset>4817110</wp:posOffset>
                </wp:positionV>
                <wp:extent cx="219075" cy="161925"/>
                <wp:effectExtent l="8255" t="5715" r="20320" b="22860"/>
                <wp:wrapNone/>
                <wp:docPr id="44" name="AutoShape 130"/>
                <wp:cNvGraphicFramePr/>
                <a:graphic xmlns:a="http://schemas.openxmlformats.org/drawingml/2006/main">
                  <a:graphicData uri="http://schemas.microsoft.com/office/word/2010/wordprocessingShape">
                    <wps:wsp>
                      <wps:cNvSpPr>
                        <a:spLocks noChangeArrowheads="1"/>
                      </wps:cNvSpPr>
                      <wps:spPr bwMode="auto">
                        <a:xfrm>
                          <a:off x="0" y="0"/>
                          <a:ext cx="219075" cy="161925"/>
                        </a:xfrm>
                        <a:prstGeom prst="flowChartDecision">
                          <a:avLst/>
                        </a:prstGeom>
                        <a:solidFill>
                          <a:srgbClr val="00B0F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AutoShape 130" o:spid="_x0000_s1026" o:spt="110" type="#_x0000_t110" style="position:absolute;left:0pt;margin-left:103.45pt;margin-top:379.3pt;height:12.75pt;width:17.25pt;z-index:251685888;mso-width-relative:page;mso-height-relative:page;" fillcolor="#00B0F0" filled="t" stroked="t" coordsize="21600,21600" o:gfxdata="UEsDBAoAAAAAAIdO4kAAAAAAAAAAAAAAAAAEAAAAZHJzL1BLAwQUAAAACACHTuJA2quhyNkAAAAL&#10;AQAADwAAAGRycy9kb3ducmV2LnhtbE2PsU7DMBCGdyTewTokFtTajkIaQpwKgToilMLC5sQmjojt&#10;yHaa8vYcEx3v7td331/vz3YiJx3i6J0AvmVAtOu9Gt0g4OP9sCmBxCSdkpN3WsCPjrBvrq9qWSm/&#10;ulafjmkgCHGxkgJMSnNFaeyNtjJu/awd3r58sDLhGAaqglwRbieaMVZQK0eHH4yc9bPR/fdxsQKy&#10;12BfPtVTu95Ruhz6t5YvnRHi9oazRyBJn9N/GP70UR0adOr84lQkEzJY8YBRAbv7sgCCiSznOZAO&#10;N2XOgTY1vezQ/AJQSwMEFAAAAAgAh07iQAsWgHcXAgAAMwQAAA4AAABkcnMvZTJvRG9jLnhtbK1T&#10;y27bMBC8F+g/ELzXklw7iQXLQWrDRYE0DZD2A2iKkohSXHZJW06/vkv6Eac9FCiqA8HVLmdnh8P5&#10;7b43bKfQa7AVL0Y5Z8pKqLVtK/7t6/rdDWc+CFsLA1ZV/Fl5frt4+2Y+uFKNoQNTK2QEYn05uIp3&#10;Ibgyy7zsVC/8CJyylGwAexEoxDarUQyE3ptsnOdX2QBYOwSpvKe/q0OSLxJ+0ygZvjSNV4GZihO3&#10;kFZM6yau2WIuyhaF67Q80hD/wKIX2lLTM9RKBMG2qP+A6rVE8NCEkYQ+g6bRUqUZaJoi/22ap044&#10;lWYhcbw7y+T/H6x82D0i03XFJxPOrOjpju62AVJrVrxPCg3Ol1T45B4xzujdPcjvnllYdsK26g4R&#10;hk6JmngVUdHs1YEYeDrKNsNnqAlfEH4Sa99gHwFJBrZPd/J8vhO1D0zSz3Exy6+nnElKFVfFbDxN&#10;HUR5OuzQh48KehY3FW8MDEQLw0pJHV2ZOondvQ+RmShP9WkSMLpea2NSgO1maZDtRPRK/iFfp+Hp&#10;iL8sM5YNFZ9NicjfIHL6jmxfQfQ6kOmN7it+E2tORcYetYtyRQv7cgP1M0mHcHAuvTTadIA/ORvI&#10;tRX3P7YCFWfmkyX5Z8VkEm2egsn0ekwBXmY2lxlhJUFVPHB22C7D4WlsHeq2o05FmtFCtESjk4Iv&#10;rI5kyZlJ2OMrita/jFPVy1tf/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aq6HI2QAAAAsBAAAP&#10;AAAAAAAAAAEAIAAAACIAAABkcnMvZG93bnJldi54bWxQSwECFAAUAAAACACHTuJACxaAdxcCAAAz&#10;BAAADgAAAAAAAAABACAAAAAoAQAAZHJzL2Uyb0RvYy54bWxQSwUGAAAAAAYABgBZAQAAsQUAAAAA&#10;">
                <v:fill on="t" focussize="0,0"/>
                <v:stroke color="#000000" miterlimit="8" joinstyle="miter"/>
                <v:imagedata o:title=""/>
                <o:lock v:ext="edit" aspectratio="f"/>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83840" behindDoc="0" locked="0" layoutInCell="1" allowOverlap="1">
                <wp:simplePos x="0" y="0"/>
                <wp:positionH relativeFrom="column">
                  <wp:posOffset>1212850</wp:posOffset>
                </wp:positionH>
                <wp:positionV relativeFrom="paragraph">
                  <wp:posOffset>4803140</wp:posOffset>
                </wp:positionV>
                <wp:extent cx="401955" cy="190500"/>
                <wp:effectExtent l="29210" t="55245" r="45085" b="59055"/>
                <wp:wrapNone/>
                <wp:docPr id="43" name="矩形 43"/>
                <wp:cNvGraphicFramePr/>
                <a:graphic xmlns:a="http://schemas.openxmlformats.org/drawingml/2006/main">
                  <a:graphicData uri="http://schemas.microsoft.com/office/word/2010/wordprocessingShape">
                    <wps:wsp>
                      <wps:cNvSpPr/>
                      <wps:spPr>
                        <a:xfrm rot="20820000">
                          <a:off x="2355850" y="5717540"/>
                          <a:ext cx="401955" cy="1905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5pt;margin-top:378.2pt;height:15pt;width:31.65pt;rotation:-851968f;z-index:251683840;v-text-anchor:middle;mso-width-relative:page;mso-height-relative:page;" filled="f" stroked="t" coordsize="21600,21600" o:gfxdata="UEsDBAoAAAAAAIdO4kAAAAAAAAAAAAAAAAAEAAAAZHJzL1BLAwQUAAAACACHTuJAv5FizNkAAAAL&#10;AQAADwAAAGRycy9kb3ducmV2LnhtbE2PS0/DMBCE70j8B2uRuFHb6YM2xKkA8ZDgRODA0Y2XJDRe&#10;R7H7+vcsJzjO7Gj2m2J99L3Y4xi7QAb0RIFAqoPrqDHw8f54tQQRkyVn+0Bo4IQR1uX5WWFzFw70&#10;hvsqNYJLKObWQJvSkEsZ6xa9jZMwIPHtK4zeJpZjI91oD1zue5kptZDedsQfWjvgfYv1ttp5A8PK&#10;3z18375+TvXp6WWrmqx61t6YywutbkAkPKa/MPziMzqUzLQJO3JR9KxXmrckA9fzxQwEJ7L5bApi&#10;w86SHVkW8v+G8gdQSwMEFAAAAAgAh07iQIOnUAVXAgAAggQAAA4AAABkcnMvZTJvRG9jLnhtbK1U&#10;y24TMRTdI/EPlvd0ZtIMbaNOqpAoCKmilQpi7XjszEge29hOJuVnkNjxEXwO4jc49kza8lghNtZ9&#10;HN/H8b2+vDp0iuyF863RFS1OckqE5qZu9bai79+tX5xT4gPTNVNGi4reC0+v5s+fXfZ2JiamMaoW&#10;jiCI9rPeVrQJwc6yzPNGdMyfGCs0nNK4jgWobpvVjvWI3qlskucvs9642jrDhfewrgYnnaf4Ugoe&#10;bqT0IhBVUdQW0unSuYlnNr9ks61jtmn5WAb7hyo61mokfQi1YoGRnWv/CNW13BlvZDjhpsuMlC0X&#10;qQd0U+S/dXPXMCtSLyDH2wea/P8Ly9/ubx1p64pOTynRrMMb/fj89fu3LwQGsNNbPwPozt66UfMQ&#10;Y6sH6TriDCid5Od4izxPDKAncoDttCzPS1B+X9HyrDgrpyPZ4hAIB2CaFxdlSQkHoLjIS1xHgmyI&#10;G+Nb58NrYToShYo6vGVKwPbXPgzQIyTCtVm3SsHOZkqTHhUgJfJzhrGSigWInUWjXm8pYWqLeeXB&#10;pZDeqLaO1+Nt77abpXJkz+LM5K/y9bGyX2Ax94r5ZsAl19iA0ugj8jYwFaWNqe/Bc2ILNXnL1y3u&#10;XzMfbpnDxMGILQo3OKQyqN6MEiWNcZ/+Zo94DAK8lPSYYHT2ccecoES90RiRi2IKzklIyrQ8m0Bx&#10;Tz2bpx6965YGDRepuiRGfFBHUTrTfcCyLWJWuJjmyD1wOCrLMGwW1pWLxSLBMOaWhWt9Z3kMPrzU&#10;YheMbNMjPrIzkoZBT2MwLmXcpKd6Qj1+Hf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5FizNkA&#10;AAALAQAADwAAAAAAAAABACAAAAAiAAAAZHJzL2Rvd25yZXYueG1sUEsBAhQAFAAAAAgAh07iQIOn&#10;UAVXAgAAggQAAA4AAAAAAAAAAQAgAAAAKAEAAGRycy9lMm9Eb2MueG1sUEsFBgAAAAAGAAYAWQEA&#10;APEFAAAAAA==&#10;">
                <v:fill on="f" focussize="0,0"/>
                <v:stroke weight="2pt" color="#00B0F0 [3204]" joinstyle="round"/>
                <v:imagedata o:title=""/>
                <o:lock v:ext="edit" aspectratio="f"/>
              </v:rect>
            </w:pict>
          </mc:Fallback>
        </mc:AlternateContent>
      </w:r>
      <w:r>
        <w:rPr>
          <w:rFonts w:hint="default" w:ascii="Times New Roman" w:hAnsi="Times New Roman" w:cs="Times New Roman"/>
          <w:b/>
          <w:bCs/>
          <w:color w:val="auto"/>
          <w:szCs w:val="24"/>
        </w:rPr>
        <mc:AlternateContent>
          <mc:Choice Requires="wps">
            <w:drawing>
              <wp:anchor distT="0" distB="0" distL="114300" distR="114300" simplePos="0" relativeHeight="251680768" behindDoc="0" locked="0" layoutInCell="1" allowOverlap="1">
                <wp:simplePos x="0" y="0"/>
                <wp:positionH relativeFrom="column">
                  <wp:posOffset>909955</wp:posOffset>
                </wp:positionH>
                <wp:positionV relativeFrom="paragraph">
                  <wp:posOffset>6482080</wp:posOffset>
                </wp:positionV>
                <wp:extent cx="1523365" cy="323850"/>
                <wp:effectExtent l="4445" t="4445" r="15240" b="14605"/>
                <wp:wrapNone/>
                <wp:docPr id="41" name="矩形 121"/>
                <wp:cNvGraphicFramePr/>
                <a:graphic xmlns:a="http://schemas.openxmlformats.org/drawingml/2006/main">
                  <a:graphicData uri="http://schemas.microsoft.com/office/word/2010/wordprocessingShape">
                    <wps:wsp>
                      <wps:cNvSpPr>
                        <a:spLocks noChangeArrowheads="1"/>
                      </wps:cNvSpPr>
                      <wps:spPr bwMode="auto">
                        <a:xfrm>
                          <a:off x="0" y="0"/>
                          <a:ext cx="1523365" cy="323850"/>
                        </a:xfrm>
                        <a:prstGeom prst="rect">
                          <a:avLst/>
                        </a:prstGeom>
                        <a:solidFill>
                          <a:srgbClr val="FFFFFF"/>
                        </a:solidFill>
                        <a:ln>
                          <a:solidFill>
                            <a:srgbClr val="FFFFFF"/>
                          </a:solidFill>
                        </a:ln>
                      </wps:spPr>
                      <wps:txbx>
                        <w:txbxContent>
                          <w:p>
                            <w:pPr>
                              <w:ind w:firstLine="210" w:firstLineChars="100"/>
                              <w:rPr>
                                <w:rFonts w:hint="default" w:eastAsia="宋体"/>
                                <w:color w:val="FF0000"/>
                                <w:sz w:val="21"/>
                                <w:szCs w:val="21"/>
                                <w:lang w:val="en-US" w:eastAsia="zh-CN"/>
                              </w:rPr>
                            </w:pPr>
                            <w:r>
                              <w:rPr>
                                <w:rFonts w:hint="eastAsia"/>
                                <w:color w:val="FF0000"/>
                                <w:sz w:val="21"/>
                                <w:szCs w:val="21"/>
                                <w:lang w:val="en-US" w:eastAsia="zh-CN"/>
                              </w:rPr>
                              <w:t>污水处理装置（依托）</w:t>
                            </w:r>
                          </w:p>
                        </w:txbxContent>
                      </wps:txbx>
                      <wps:bodyPr rot="0" vert="horz" wrap="square" lIns="91440" tIns="45720" rIns="91440" bIns="45720" anchor="t" anchorCtr="0" upright="1">
                        <a:noAutofit/>
                      </wps:bodyPr>
                    </wps:wsp>
                  </a:graphicData>
                </a:graphic>
              </wp:anchor>
            </w:drawing>
          </mc:Choice>
          <mc:Fallback>
            <w:pict>
              <v:rect id="矩形 121" o:spid="_x0000_s1026" o:spt="1" style="position:absolute;left:0pt;margin-left:71.65pt;margin-top:510.4pt;height:25.5pt;width:119.95pt;z-index:251680768;mso-width-relative:page;mso-height-relative:page;" fillcolor="#FFFFFF" filled="t" stroked="t" coordsize="21600,21600" o:gfxdata="UEsDBAoAAAAAAIdO4kAAAAAAAAAAAAAAAAAEAAAAZHJzL1BLAwQUAAAACACHTuJA2h2Mr9kAAAAN&#10;AQAADwAAAGRycy9kb3ducmV2LnhtbE2PzU7DMBCE70i8g7VI3KidpIIojVOJEsSFQ1vgvnW2SURs&#10;R7H7x9OzPcFtZ3c0+025PNtBHGkKvXcakpkCQc74pneths+P14ccRIjoGhy8Iw0XCrCsbm9KLBp/&#10;chs6bmMrOMSFAjV0MY6FlMF0ZDHM/EiOb3s/WYwsp1Y2E5443A4yVepRWuwdf+hwpFVH5nt7sBrW&#10;iC/rnzdjnuvL+7ym1VdNftD6/i5RCxCRzvHPDFd8RoeKmXb+4JogBtbzLGMrDypVXIItWZ6lIHbX&#10;1VOSg6xK+b9F9QtQSwMEFAAAAAgAh07iQElsrA0IAgAADwQAAA4AAABkcnMvZTJvRG9jLnhtbK1T&#10;XY7TMBB+R+IOlt9pmv4sS9R0teqqCGmBlRYO4DhOYpF4zNhtUi6DxNseguMgrsHY6ZYCbyv8YHk8&#10;M5+/+Wa8uhq6lu0VOg0m5+lkypkyEkpt6px//LB9ccmZ88KUogWjcn5Qjl+tnz9b9TZTM2igLRUy&#10;AjEu623OG+9tliRONqoTbgJWGXJWgJ3wZGKdlCh6Qu/aZDadXiQ9YGkRpHKObm9GJ19H/KpS0r+v&#10;Kqc8a3NO3HzcMe5F2JP1SmQ1CttoeaQhnsCiE9rQoyeoG+EF26H+B6rTEsFB5ScSugSqSksVa6Bq&#10;0ulf1dw3wqpYC4nj7Ekm9/9g5bv9HTJd5nyRcmZERz36+fXhx/dvLJ2lQZ7euoyi7u0dhgKdvQX5&#10;yTEDm0aYWl0jQt8oURKpGJ/8kRAMR6ms6N9CSeBi5yEqNVTYBUDSgA2xIYdTQ9TgmaTLdDmbzy+W&#10;nEnyzWfzy2XsWCKyx2yLzr9W0LFwyDlSwyO62N86T+wp9DEksodWl1vdttHAuti0yPaChmMbVyiY&#10;Utx5WGuelkk4ITXqESQYpfRDMRxVLaA8kDII41TSL6JDA/iFs54mMufu806g4qx9Y0jdV+liEUY4&#10;GovlyxkZeO4pzj3CSILKuedsPG78OPY7i7pu6KU0CmXgmjpS6ShW6NbI6sibpi4KcvwhYazP7Rj1&#10;+x+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aHYyv2QAAAA0BAAAPAAAAAAAAAAEAIAAAACIA&#10;AABkcnMvZG93bnJldi54bWxQSwECFAAUAAAACACHTuJASWysDQgCAAAPBAAADgAAAAAAAAABACAA&#10;AAAoAQAAZHJzL2Uyb0RvYy54bWxQSwUGAAAAAAYABgBZAQAAogUAAAAA&#10;">
                <v:fill on="t" focussize="0,0"/>
                <v:stroke color="#FFFFFF" joinstyle="round"/>
                <v:imagedata o:title=""/>
                <o:lock v:ext="edit" aspectratio="f"/>
                <v:textbox>
                  <w:txbxContent>
                    <w:p>
                      <w:pPr>
                        <w:ind w:firstLine="210" w:firstLineChars="100"/>
                        <w:rPr>
                          <w:rFonts w:hint="default" w:eastAsia="宋体"/>
                          <w:color w:val="FF0000"/>
                          <w:sz w:val="21"/>
                          <w:szCs w:val="21"/>
                          <w:lang w:val="en-US" w:eastAsia="zh-CN"/>
                        </w:rPr>
                      </w:pPr>
                      <w:r>
                        <w:rPr>
                          <w:rFonts w:hint="eastAsia"/>
                          <w:color w:val="FF0000"/>
                          <w:sz w:val="21"/>
                          <w:szCs w:val="21"/>
                          <w:lang w:val="en-US" w:eastAsia="zh-CN"/>
                        </w:rPr>
                        <w:t>污水处理装置（依托）</w:t>
                      </w:r>
                    </w:p>
                  </w:txbxContent>
                </v:textbox>
              </v:rect>
            </w:pict>
          </mc:Fallback>
        </mc:AlternateContent>
      </w:r>
      <w:r>
        <w:rPr>
          <w:rFonts w:hint="default" w:ascii="Times New Roman" w:hAnsi="Times New Roman" w:cs="Times New Roman"/>
          <w:b/>
          <w:bCs/>
          <w:color w:val="auto"/>
          <w:szCs w:val="24"/>
        </w:rPr>
        <mc:AlternateContent>
          <mc:Choice Requires="wps">
            <w:drawing>
              <wp:anchor distT="0" distB="0" distL="114300" distR="114300" simplePos="0" relativeHeight="251665408" behindDoc="0" locked="0" layoutInCell="1" allowOverlap="1">
                <wp:simplePos x="0" y="0"/>
                <wp:positionH relativeFrom="column">
                  <wp:posOffset>1771650</wp:posOffset>
                </wp:positionH>
                <wp:positionV relativeFrom="paragraph">
                  <wp:posOffset>2307590</wp:posOffset>
                </wp:positionV>
                <wp:extent cx="171450" cy="161925"/>
                <wp:effectExtent l="9525" t="6350" r="9525" b="12700"/>
                <wp:wrapNone/>
                <wp:docPr id="26" name="Oval 134"/>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00"/>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Oval 134" o:spid="_x0000_s1026" o:spt="3" type="#_x0000_t3" style="position:absolute;left:0pt;margin-left:139.5pt;margin-top:181.7pt;height:12.75pt;width:13.5pt;z-index:251665408;mso-width-relative:page;mso-height-relative:page;" fillcolor="#FFFF00" filled="t" stroked="t" coordsize="21600,21600" o:gfxdata="UEsDBAoAAAAAAIdO4kAAAAAAAAAAAAAAAAAEAAAAZHJzL1BLAwQUAAAACACHTuJAqoYaydoAAAAL&#10;AQAADwAAAGRycy9kb3ducmV2LnhtbE2PzU7DMBCE70i8g7VIXBC121QhDXEqFYkDnCBFnN14SQLx&#10;2ordv7dnOdHb7s5o9ptqfXKjOOAUB08a5jMFAqn1dqBOw8f2+b4AEZMha0ZPqOGMEdb19VVlSuuP&#10;9I6HJnWCQyiWRkOfUiiljG2PzsSZD0isffnJmcTr1Ek7mSOHu1EulMqlMwPxh94EfOqx/Wn2ToNb&#10;bu7e3Os2w00bZHMuwuf39KL17c1cPYJIeEr/ZvjDZ3SomWnn92SjGDUsHlbcJWnI8mwJgh2Zyvmy&#10;46EoViDrSl52qH8BUEsDBBQAAAAIAIdO4kA/WocmCgIAABcEAAAOAAAAZHJzL2Uyb0RvYy54bWyt&#10;U8Fu2zAMvQ/YPwi6L7azJG2MOEWRIsOAbi3Q7QMUWbaFyaJGKXG6rx8lp1m6ATsM00EQRfLp8ZFa&#10;3Rx7ww4KvQZb8WKSc6ashFrbtuJfv2zfXXPmg7C1MGBVxZ+V5zfrt29WgyvVFDowtUJGINaXg6t4&#10;F4Irs8zLTvXCT8ApS84GsBeBTGyzGsVA6L3Jpnm+yAbA2iFI5T3d3o1Ovk74TaNkeGgarwIzFSdu&#10;Ie2Y9l3cs/VKlC0K12l5oiH+gUUvtKVHz1B3Igi2R/0HVK8lgocmTCT0GTSNlirVQNUU+W/VPHXC&#10;qVQLiePdWSb//2Dl58MjMl1XfLrgzIqeevRwEIYV72dRnMH5kmKe3CPG8ry7B/nNMwubTthW3SLC&#10;0ClRE6UixmevEqLhKZXthk9QE7TYB0g6HRvsIyApwI6pHc/ndqhjYJIui6tiNqemSXIVi2I5nacX&#10;RPmS7NCHDwp6Fg8VV8Zo56NgohSHex8iH1G+RCX+YHS91cYkA9vdxiCjciu+pZWneaAUfxlmLBsq&#10;vpzT83+HyNM6cXwFgbC39cjG2JNIUZdR3x3Uz6QRwjid9Jvo0AH+4Gygyay4/74XqDgzHy3pvCxm&#10;szjKyZjNr6Zk4KVnd+kRVhJUxQNn43ETxvHfO9RtRy8VqSwLt9SbRifRYt9GVieyNH1Jy9NPieN9&#10;aaeoX/95/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qhhrJ2gAAAAsBAAAPAAAAAAAAAAEAIAAA&#10;ACIAAABkcnMvZG93bnJldi54bWxQSwECFAAUAAAACACHTuJAP1qHJgoCAAAXBAAADgAAAAAAAAAB&#10;ACAAAAApAQAAZHJzL2Uyb0RvYy54bWxQSwUGAAAAAAYABgBZAQAApQUAAAAA&#10;">
                <v:fill on="t" focussize="0,0"/>
                <v:stroke color="#000000" joinstyle="round"/>
                <v:imagedata o:title=""/>
                <o:lock v:ext="edit" aspectratio="f"/>
              </v:shape>
            </w:pict>
          </mc:Fallback>
        </mc:AlternateContent>
      </w:r>
      <w:r>
        <w:rPr>
          <w:rFonts w:hint="default" w:ascii="Times New Roman" w:hAnsi="Times New Roman" w:cs="Times New Roman"/>
          <w:b/>
          <w:bCs/>
          <w:color w:val="auto"/>
          <w:szCs w:val="24"/>
        </w:rPr>
        <mc:AlternateContent>
          <mc:Choice Requires="wps">
            <w:drawing>
              <wp:anchor distT="0" distB="0" distL="114300" distR="114300" simplePos="0" relativeHeight="251674624" behindDoc="0" locked="0" layoutInCell="1" allowOverlap="1">
                <wp:simplePos x="0" y="0"/>
                <wp:positionH relativeFrom="column">
                  <wp:posOffset>1530350</wp:posOffset>
                </wp:positionH>
                <wp:positionV relativeFrom="paragraph">
                  <wp:posOffset>2336165</wp:posOffset>
                </wp:positionV>
                <wp:extent cx="182880" cy="127635"/>
                <wp:effectExtent l="25400" t="15875" r="29845" b="18415"/>
                <wp:wrapNone/>
                <wp:docPr id="64" name="AutoShape 144"/>
                <wp:cNvGraphicFramePr/>
                <a:graphic xmlns:a="http://schemas.openxmlformats.org/drawingml/2006/main">
                  <a:graphicData uri="http://schemas.microsoft.com/office/word/2010/wordprocessingShape">
                    <wps:wsp>
                      <wps:cNvSpPr>
                        <a:spLocks noChangeArrowheads="1"/>
                      </wps:cNvSpPr>
                      <wps:spPr bwMode="auto">
                        <a:xfrm>
                          <a:off x="0" y="0"/>
                          <a:ext cx="182880" cy="127635"/>
                        </a:xfrm>
                        <a:prstGeom prst="sun">
                          <a:avLst>
                            <a:gd name="adj" fmla="val 25000"/>
                          </a:avLst>
                        </a:prstGeom>
                        <a:solidFill>
                          <a:srgbClr val="FFC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AutoShape 144" o:spid="_x0000_s1026" o:spt="183" type="#_x0000_t183" style="position:absolute;left:0pt;margin-left:120.5pt;margin-top:183.95pt;height:10.05pt;width:14.4pt;z-index:251674624;mso-width-relative:page;mso-height-relative:page;" fillcolor="#FFC000" filled="t" stroked="t" coordsize="21600,21600" o:gfxdata="UEsDBAoAAAAAAIdO4kAAAAAAAAAAAAAAAAAEAAAAZHJzL1BLAwQUAAAACACHTuJA8tqj3tsAAAAL&#10;AQAADwAAAGRycy9kb3ducmV2LnhtbE2PwU6EMBCG7ya+QzMmXjZuCxqWRcpGTTRRT6Ixe+zCCEQ6&#10;JbTA7ts7nvQ4M3/++b58d7S9mHH0nSMN0VqBQKpc3VGj4eP98SoF4YOh2vSOUMMJPeyK87PcZLVb&#10;6A3nMjSCS8hnRkMbwpBJ6asWrfFrNyDx7cuN1gQex0bWo1m43PYyViqR1nTEH1oz4EOL1Xc5WQ37&#10;qVTP8+q1rDbR6mm5PyV3+88XrS8vInULIuAx/IXhF5/RoWCmg5uo9qLXEN9E7BI0XCebLQhOxMmW&#10;ZQ68SVMFssjlf4fiB1BLAwQUAAAACACHTuJAhIH6TB8CAABRBAAADgAAAGRycy9lMm9Eb2MueG1s&#10;rVTbbtswDH0fsH8Q9L74siRNjThFkSLDgG4t0O0DFFm2tUmiJilxsq8fLSeps2Evw14E0iSPeHhE&#10;L+8OWpG9cF6CKWk2SSkRhkMlTVPSr1827xaU+MBMxRQYUdKj8PRu9fbNsrOFyKEFVQlHEMT4orMl&#10;bUOwRZJ43grN/ASsMBiswWkW0HVNUjnWIbpWSZ6m86QDV1kHXHiPXx+GIF1F/LoWPDzVtReBqJJi&#10;byGeLp7b/kxWS1Y0jtlW8lMb7B+60EwavPQC9cACIzsn/4DSkjvwUIcJB51AXUsuIgdkk6W/sXlp&#10;mRWRCw7H28uY/P+D5Z/3z47IqqTzKSWGadTofhcgXk2y6bSfUGd9gYkv9tn1HL19BP7dEwPrlplG&#10;3DsHXStYhX1lfX5yVdA7HkvJtvsEFeIzxI/DOtRO94A4BnKImhwvmohDIBw/Zot8sUDlOIay/Gb+&#10;fhZvYMW52DofPgjQpDdK6neDEGz/6ENUpDrRYtU3SmqtUN89UySfpWnUP2HFKRmtM1rkCUpWG6lU&#10;dFyzXStHsLSkm836tdiP05QhXUlvZ/ksMryK+TEE1v8FQsuAK6GkLulinKTMabL9MAdRtlAdcbAO&#10;hneNe4hGC+4nJR2+aZzGjx1zghL10aA4t6hnvwTRmc5ucnTcOLIdR5jhCFXSQMlgrsOwODvrZNPi&#10;TVnkaKB/MLUMZ+WHrk7N4rtF62oxxn7Mev0TrH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8tqj&#10;3tsAAAALAQAADwAAAAAAAAABACAAAAAiAAAAZHJzL2Rvd25yZXYueG1sUEsBAhQAFAAAAAgAh07i&#10;QISB+kwfAgAAUQQAAA4AAAAAAAAAAQAgAAAAKgEAAGRycy9lMm9Eb2MueG1sUEsFBgAAAAAGAAYA&#10;WQEAALsFAAAAAA==&#10;" adj="5400">
                <v:fill on="t" focussize="0,0"/>
                <v:stroke color="#000000" miterlimit="8" joinstyle="miter"/>
                <v:imagedata o:title=""/>
                <o:lock v:ext="edit" aspectratio="f"/>
              </v:shape>
            </w:pict>
          </mc:Fallback>
        </mc:AlternateContent>
      </w:r>
      <w:r>
        <w:rPr>
          <w:rFonts w:hint="default" w:ascii="Times New Roman" w:hAnsi="Times New Roman" w:cs="Times New Roman"/>
          <w:b/>
          <w:bCs/>
          <w:color w:val="auto"/>
          <w:szCs w:val="24"/>
        </w:rPr>
        <mc:AlternateContent>
          <mc:Choice Requires="wps">
            <w:drawing>
              <wp:anchor distT="0" distB="0" distL="114300" distR="114300" simplePos="0" relativeHeight="251661312" behindDoc="0" locked="0" layoutInCell="1" allowOverlap="1">
                <wp:simplePos x="0" y="0"/>
                <wp:positionH relativeFrom="column">
                  <wp:posOffset>2409825</wp:posOffset>
                </wp:positionH>
                <wp:positionV relativeFrom="paragraph">
                  <wp:posOffset>7098665</wp:posOffset>
                </wp:positionV>
                <wp:extent cx="219075" cy="161925"/>
                <wp:effectExtent l="19050" t="15875" r="19050" b="12700"/>
                <wp:wrapNone/>
                <wp:docPr id="22" name="AutoShape 130"/>
                <wp:cNvGraphicFramePr/>
                <a:graphic xmlns:a="http://schemas.openxmlformats.org/drawingml/2006/main">
                  <a:graphicData uri="http://schemas.microsoft.com/office/word/2010/wordprocessingShape">
                    <wps:wsp>
                      <wps:cNvSpPr>
                        <a:spLocks noChangeArrowheads="1"/>
                      </wps:cNvSpPr>
                      <wps:spPr bwMode="auto">
                        <a:xfrm>
                          <a:off x="0" y="0"/>
                          <a:ext cx="219075" cy="161925"/>
                        </a:xfrm>
                        <a:prstGeom prst="flowChartDecision">
                          <a:avLst/>
                        </a:prstGeom>
                        <a:solidFill>
                          <a:srgbClr val="00B0F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AutoShape 130" o:spid="_x0000_s1026" o:spt="110" type="#_x0000_t110" style="position:absolute;left:0pt;margin-left:189.75pt;margin-top:558.95pt;height:12.75pt;width:17.25pt;z-index:251661312;mso-width-relative:page;mso-height-relative:page;" fillcolor="#00B0F0" filled="t" stroked="t" coordsize="21600,21600" o:gfxdata="UEsDBAoAAAAAAIdO4kAAAAAAAAAAAAAAAAAEAAAAZHJzL1BLAwQUAAAACACHTuJAlqrhydoAAAAN&#10;AQAADwAAAGRycy9kb3ducmV2LnhtbE2PwU7DMBBE70j8g7VIXFDruA2UhjgVAvWIUEov3Jx4iSNi&#10;O7Kdpvw92xMcd+Zpdqbcne3AThhi750EscyAoWu97l0n4fixXzwCi0k5rQbvUMIPRthV11elKrSf&#10;XY2nQ+oYhbhYKAkmpbHgPLYGrYpLP6Ij78sHqxKdoeM6qJnC7cBXWfbAreodfTBqxBeD7fdhshJW&#10;b8G+furner7jfNq377WYGiPl7Y3InoAlPKc/GC71qTpU1Knxk9ORDRLWm+09oWQIsdkCIyQXOc1r&#10;LlK+zoFXJf+/ovoFUEsDBBQAAAAIAIdO4kDWBMOiFgIAADMEAAAOAAAAZHJzL2Uyb0RvYy54bWyt&#10;U9tuEzEQfUfiHyy/k72QtM0qm6okCkIqpVLhAxyvN2vh9Zixk035esbOpSk8ICH2wfLsjM+cOT6e&#10;3e57w3YKvQZb82KUc6ashEbbTc2/fV29u+HMB2EbYcCqmj8rz2/nb9/MBlepEjowjUJGINZXg6t5&#10;F4KrsszLTvXCj8ApS8kWsBeBQtxkDYqB0HuTlXl+lQ2AjUOQynv6uzwk+Tzht62S4UvbehWYqTlx&#10;C2nFtK7jms1notqgcJ2WRxriH1j0QltqeoZaiiDYFvUfUL2WCB7aMJLQZ9C2Wqo0A01T5L9N89QJ&#10;p9IsJI53Z5n8/4OVD7tHZLqpeVlyZkVPd3S3DZBas+J9UmhwvqLCJ/eIcUbv7kF+98zCohN2o+4Q&#10;YeiUaIhXERXNXh2IgaejbD18hobwBeEnsfYt9hGQZGD7dCfP5ztR+8Ak/SyLaX494UxSqrgqpuUk&#10;dRDV6bBDHz4q6Fnc1Lw1MBAtDEsldXRl6iR29z5EZqI61adJwOhmpY1JAW7WC4NsJ6JX8g/5Kg1P&#10;R/xlmbFsqPl0QkT+BpHTd2T7CqLXgUxvdF/zm1hzKjL2qF2UK1rYV2tonkk6hINz6aXRpgP8ydlA&#10;rq25/7EVqDgznyzJPy3G42jzFIwn1yUFeJlZX2aElQRV88DZYbsIh6exdag3HXUq0owWoiVanRR8&#10;YXUkS85Mwh5fUbT+ZZyqXt76/B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WquHJ2gAAAA0BAAAP&#10;AAAAAAAAAAEAIAAAACIAAABkcnMvZG93bnJldi54bWxQSwECFAAUAAAACACHTuJA1gTDohYCAAAz&#10;BAAADgAAAAAAAAABACAAAAApAQAAZHJzL2Uyb0RvYy54bWxQSwUGAAAAAAYABgBZAQAAsQUAAAAA&#10;">
                <v:fill on="t" focussize="0,0"/>
                <v:stroke color="#000000" miterlimit="8" joinstyle="miter"/>
                <v:imagedata o:title=""/>
                <o:lock v:ext="edit" aspectratio="f"/>
              </v:shape>
            </w:pict>
          </mc:Fallback>
        </mc:AlternateContent>
      </w:r>
      <w:r>
        <w:rPr>
          <w:rFonts w:hint="default" w:ascii="Times New Roman" w:hAnsi="Times New Roman" w:cs="Times New Roman"/>
          <w:b/>
          <w:bCs/>
          <w:color w:val="auto"/>
          <w:szCs w:val="24"/>
        </w:rPr>
        <mc:AlternateContent>
          <mc:Choice Requires="wps">
            <w:drawing>
              <wp:anchor distT="0" distB="0" distL="114300" distR="114300" simplePos="0" relativeHeight="251681792" behindDoc="0" locked="0" layoutInCell="1" allowOverlap="1">
                <wp:simplePos x="0" y="0"/>
                <wp:positionH relativeFrom="column">
                  <wp:posOffset>1066800</wp:posOffset>
                </wp:positionH>
                <wp:positionV relativeFrom="paragraph">
                  <wp:posOffset>7079615</wp:posOffset>
                </wp:positionV>
                <wp:extent cx="219075" cy="161925"/>
                <wp:effectExtent l="8255" t="5715" r="20320" b="22860"/>
                <wp:wrapNone/>
                <wp:docPr id="40" name="AutoShape 130"/>
                <wp:cNvGraphicFramePr/>
                <a:graphic xmlns:a="http://schemas.openxmlformats.org/drawingml/2006/main">
                  <a:graphicData uri="http://schemas.microsoft.com/office/word/2010/wordprocessingShape">
                    <wps:wsp>
                      <wps:cNvSpPr>
                        <a:spLocks noChangeArrowheads="1"/>
                      </wps:cNvSpPr>
                      <wps:spPr bwMode="auto">
                        <a:xfrm>
                          <a:off x="0" y="0"/>
                          <a:ext cx="219075" cy="161925"/>
                        </a:xfrm>
                        <a:prstGeom prst="flowChartDecision">
                          <a:avLst/>
                        </a:prstGeom>
                        <a:solidFill>
                          <a:srgbClr val="00B0F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AutoShape 130" o:spid="_x0000_s1026" o:spt="110" type="#_x0000_t110" style="position:absolute;left:0pt;margin-left:84pt;margin-top:557.45pt;height:12.75pt;width:17.25pt;z-index:251681792;mso-width-relative:page;mso-height-relative:page;" fillcolor="#00B0F0" filled="t" stroked="t" coordsize="21600,21600" o:gfxdata="UEsDBAoAAAAAAIdO4kAAAAAAAAAAAAAAAAAEAAAAZHJzL1BLAwQUAAAACACHTuJApX1DwNkAAAAN&#10;AQAADwAAAGRycy9kb3ducmV2LnhtbE2PwU7DMBBE70j8g7VIXBC1E4WqhDgVAvWIUNpeenPiJY6I&#10;7ch2mvL3bE9w29kdzb6pthc7sjOGOHgnIVsJYOg6rwfXSzgedo8bYDEpp9XoHUr4wQjb+vamUqX2&#10;i2vwvE89oxAXSyXBpDSVnMfOoFVx5Sd0dPvywapEMvRcB7VQuB15LsSaWzU4+mDUhG8Gu+/9bCXk&#10;H8G+n/RrszxwPu+6zyabWyPl/V0mXoAlvKQ/M1zxCR1qYmr97HRkI+n1hrokGrKseAZGllzkT8Da&#10;66oQBfC64v9b1L9QSwMEFAAAAAgAh07iQF6ugfUWAgAAMwQAAA4AAABkcnMvZTJvRG9jLnhtbK1T&#10;y27bMBC8F+g/ELzXklw7iQXLQWrDRYE0DZD2A2iKkohSXHZJW06/vkv6Eac9FCiqA8HVLmdnh8P5&#10;7b43bKfQa7AVL0Y5Z8pKqLVtK/7t6/rdDWc+CFsLA1ZV/Fl5frt4+2Y+uFKNoQNTK2QEYn05uIp3&#10;Ibgyy7zsVC/8CJyylGwAexEoxDarUQyE3ptsnOdX2QBYOwSpvKe/q0OSLxJ+0ygZvjSNV4GZihO3&#10;kFZM6yau2WIuyhaF67Q80hD/wKIX2lLTM9RKBMG2qP+A6rVE8NCEkYQ+g6bRUqUZaJoi/22ap044&#10;lWYhcbw7y+T/H6x82D0i03XFJySPFT3d0d02QGrNivdJocH5kgqf3CPGGb27B/ndMwvLTthW3SHC&#10;0ClRE68iKpq9OhADT0fZZvgMNeELwk9i7RvsIyDJwPbpTp7Pd6L2gUn6OS5m+fWUM0mp4qqYjaep&#10;gyhPhx368FFBz+Km4o2BgWhhWCmpoytTJ7G79yEyE+WpPk0CRtdrbUwKsN0sDbKdiF7JP+TrNDwd&#10;8ZdlxrKh4rMpEfkbRE7fke0riF4HMr3RfcVvYs2pyNijdlGuaGFfbqB+JukQDs6ll0abDvAnZwO5&#10;tuL+x1ag4sx8siT/rJjEewwpmEyvxxTgZWZzmRFWElTFA2eH7TIcnsbWoW476lSkGS1ESzQ6KfjC&#10;6kiWnJmEPb6iaP3LOFW9vPXF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V9Q8DZAAAADQEAAA8A&#10;AAAAAAAAAQAgAAAAIgAAAGRycy9kb3ducmV2LnhtbFBLAQIUABQAAAAIAIdO4kBeroH1FgIAADME&#10;AAAOAAAAAAAAAAEAIAAAACgBAABkcnMvZTJvRG9jLnhtbFBLBQYAAAAABgAGAFkBAACwBQAAAAA=&#10;">
                <v:fill on="t" focussize="0,0"/>
                <v:stroke color="#000000" miterlimit="8" joinstyle="miter"/>
                <v:imagedata o:title=""/>
                <o:lock v:ext="edit" aspectratio="f"/>
              </v:shape>
            </w:pict>
          </mc:Fallback>
        </mc:AlternateContent>
      </w:r>
      <w:r>
        <w:rPr>
          <w:rFonts w:hint="default" w:ascii="Times New Roman" w:hAnsi="Times New Roman" w:cs="Times New Roman"/>
          <w:color w:val="auto"/>
        </w:rPr>
        <w:drawing>
          <wp:inline distT="0" distB="0" distL="114300" distR="114300">
            <wp:extent cx="4561840" cy="7682865"/>
            <wp:effectExtent l="0" t="0" r="10160" b="1333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8"/>
                    <a:srcRect l="11658" t="2293"/>
                    <a:stretch>
                      <a:fillRect/>
                    </a:stretch>
                  </pic:blipFill>
                  <pic:spPr>
                    <a:xfrm>
                      <a:off x="0" y="0"/>
                      <a:ext cx="4561840" cy="7682865"/>
                    </a:xfrm>
                    <a:prstGeom prst="rect">
                      <a:avLst/>
                    </a:prstGeom>
                    <a:noFill/>
                    <a:ln>
                      <a:noFill/>
                    </a:ln>
                  </pic:spPr>
                </pic:pic>
              </a:graphicData>
            </a:graphic>
          </wp:inline>
        </w:drawing>
      </w:r>
    </w:p>
    <w:p>
      <w:pPr>
        <w:jc w:val="center"/>
        <w:rPr>
          <w:rFonts w:hint="default" w:ascii="Times New Roman" w:hAnsi="Times New Roman" w:cs="Times New Roman"/>
          <w:b/>
          <w:bCs/>
          <w:color w:val="auto"/>
          <w:szCs w:val="24"/>
        </w:rPr>
      </w:pPr>
      <w:r>
        <w:rPr>
          <w:rFonts w:hint="default" w:ascii="Times New Roman" w:hAnsi="Times New Roman" w:cs="Times New Roman"/>
          <w:b/>
          <w:bCs/>
          <w:color w:val="auto"/>
          <w:szCs w:val="24"/>
        </w:rPr>
        <mc:AlternateContent>
          <mc:Choice Requires="wpg">
            <w:drawing>
              <wp:anchor distT="0" distB="0" distL="114300" distR="114300" simplePos="0" relativeHeight="251632640" behindDoc="0" locked="0" layoutInCell="1" allowOverlap="1">
                <wp:simplePos x="0" y="0"/>
                <wp:positionH relativeFrom="column">
                  <wp:posOffset>2918460</wp:posOffset>
                </wp:positionH>
                <wp:positionV relativeFrom="paragraph">
                  <wp:posOffset>19685</wp:posOffset>
                </wp:positionV>
                <wp:extent cx="5567045" cy="4701540"/>
                <wp:effectExtent l="4042410" t="82144235" r="0" b="0"/>
                <wp:wrapNone/>
                <wp:docPr id="8" name="组合 43"/>
                <wp:cNvGraphicFramePr/>
                <a:graphic xmlns:a="http://schemas.openxmlformats.org/drawingml/2006/main">
                  <a:graphicData uri="http://schemas.microsoft.com/office/word/2010/wordprocessingGroup">
                    <wpg:wgp>
                      <wpg:cNvGrpSpPr/>
                      <wpg:grpSpPr>
                        <a:xfrm>
                          <a:off x="0" y="0"/>
                          <a:ext cx="5567045" cy="4701540"/>
                          <a:chOff x="6339" y="129336"/>
                          <a:chExt cx="8767" cy="7404"/>
                        </a:xfrm>
                      </wpg:grpSpPr>
                      <pic:pic xmlns:pic="http://schemas.openxmlformats.org/drawingml/2006/picture">
                        <pic:nvPicPr>
                          <pic:cNvPr id="9" name="图片 42" descr="三原风向玫瑰"/>
                          <pic:cNvPicPr>
                            <a:picLocks noChangeAspect="1" noChangeArrowheads="1"/>
                          </pic:cNvPicPr>
                        </pic:nvPicPr>
                        <pic:blipFill>
                          <a:blip r:embed="rId9">
                            <a:extLst>
                              <a:ext uri="{28A0092B-C50C-407E-A947-70E740481C1C}">
                                <a14:useLocalDpi xmlns:a14="http://schemas.microsoft.com/office/drawing/2010/main" val="0"/>
                              </a:ext>
                            </a:extLst>
                          </a:blip>
                          <a:srcRect l="5461" t="2313" r="9322"/>
                          <a:stretch>
                            <a:fillRect/>
                          </a:stretch>
                        </pic:blipFill>
                        <pic:spPr>
                          <a:xfrm>
                            <a:off x="0" y="0"/>
                            <a:ext cx="0" cy="0"/>
                          </a:xfrm>
                          <a:prstGeom prst="rect">
                            <a:avLst/>
                          </a:prstGeom>
                          <a:noFill/>
                          <a:ln>
                            <a:noFill/>
                          </a:ln>
                          <a:effectLst/>
                        </pic:spPr>
                      </pic:pic>
                      <wps:wsp>
                        <wps:cNvPr id="10" name="文本框 4"/>
                        <wps:cNvSpPr txBox="1">
                          <a:spLocks noChangeArrowheads="1"/>
                        </wps:cNvSpPr>
                        <wps:spPr bwMode="auto">
                          <a:xfrm>
                            <a:off x="0" y="0"/>
                            <a:ext cx="0" cy="0"/>
                          </a:xfrm>
                          <a:prstGeom prst="rect">
                            <a:avLst/>
                          </a:prstGeom>
                          <a:noFill/>
                          <a:ln w="6350">
                            <a:solidFill>
                              <a:srgbClr val="000000"/>
                            </a:solidFill>
                            <a:round/>
                          </a:ln>
                          <a:effectLst/>
                        </wps:spPr>
                        <wps:txbx>
                          <w:txbxContent>
                            <w:p>
                              <w:pPr>
                                <w:ind w:firstLine="422" w:firstLineChars="200"/>
                                <w:rPr>
                                  <w:b/>
                                  <w:bCs/>
                                  <w:sz w:val="21"/>
                                  <w:szCs w:val="21"/>
                                </w:rPr>
                              </w:pPr>
                              <w:r>
                                <w:rPr>
                                  <w:rFonts w:hint="eastAsia"/>
                                  <w:b/>
                                  <w:bCs/>
                                  <w:sz w:val="21"/>
                                  <w:szCs w:val="21"/>
                                </w:rPr>
                                <w:t>图 例</w:t>
                              </w:r>
                            </w:p>
                            <w:p>
                              <w:pPr>
                                <w:rPr>
                                  <w:sz w:val="21"/>
                                  <w:szCs w:val="21"/>
                                </w:rPr>
                              </w:pPr>
                              <w:r>
                                <w:rPr>
                                  <w:rFonts w:hint="eastAsia"/>
                                  <w:sz w:val="21"/>
                                  <w:szCs w:val="21"/>
                                </w:rPr>
                                <w:t xml:space="preserve">    </w:t>
                              </w:r>
                            </w:p>
                            <w:p>
                              <w:pPr>
                                <w:ind w:firstLine="420" w:firstLineChars="200"/>
                                <w:rPr>
                                  <w:sz w:val="21"/>
                                  <w:szCs w:val="21"/>
                                </w:rPr>
                              </w:pPr>
                              <w:r>
                                <w:rPr>
                                  <w:rFonts w:hint="eastAsia"/>
                                  <w:sz w:val="21"/>
                                  <w:szCs w:val="21"/>
                                </w:rPr>
                                <w:t>化粪池</w:t>
                              </w:r>
                            </w:p>
                            <w:p>
                              <w:pPr>
                                <w:ind w:firstLine="420"/>
                                <w:rPr>
                                  <w:sz w:val="21"/>
                                  <w:szCs w:val="21"/>
                                </w:rPr>
                              </w:pPr>
                              <w:r>
                                <w:rPr>
                                  <w:rFonts w:hint="eastAsia"/>
                                  <w:sz w:val="21"/>
                                  <w:szCs w:val="21"/>
                                </w:rPr>
                                <w:t>噪声设备</w:t>
                              </w:r>
                            </w:p>
                            <w:p>
                              <w:pPr>
                                <w:ind w:firstLine="420" w:firstLineChars="200"/>
                                <w:rPr>
                                  <w:sz w:val="21"/>
                                  <w:szCs w:val="21"/>
                                </w:rPr>
                              </w:pPr>
                              <w:r>
                                <w:rPr>
                                  <w:rFonts w:hint="eastAsia"/>
                                  <w:sz w:val="21"/>
                                  <w:szCs w:val="21"/>
                                </w:rPr>
                                <w:t>厨房油烟</w:t>
                              </w:r>
                            </w:p>
                          </w:txbxContent>
                        </wps:txbx>
                        <wps:bodyPr rot="0" vert="horz" wrap="square" lIns="91440" tIns="45720" rIns="91440" bIns="45720" anchor="t" anchorCtr="0" upright="1">
                          <a:noAutofit/>
                        </wps:bodyPr>
                      </wps:wsp>
                      <wps:wsp>
                        <wps:cNvPr id="11" name="椭圆 36"/>
                        <wps:cNvSpPr>
                          <a:spLocks noChangeArrowheads="1"/>
                        </wps:cNvSpPr>
                        <wps:spPr bwMode="auto">
                          <a:xfrm>
                            <a:off x="0" y="0"/>
                            <a:ext cx="0" cy="0"/>
                          </a:xfrm>
                          <a:prstGeom prst="ellipse">
                            <a:avLst/>
                          </a:prstGeom>
                          <a:solidFill>
                            <a:srgbClr val="FFC000"/>
                          </a:solidFill>
                          <a:ln w="25400">
                            <a:solidFill>
                              <a:srgbClr val="FFFF00"/>
                            </a:solidFill>
                            <a:round/>
                          </a:ln>
                          <a:effectLst/>
                        </wps:spPr>
                        <wps:bodyPr rot="0" vert="horz" wrap="square" lIns="91440" tIns="45720" rIns="91440" bIns="45720" anchor="ctr" anchorCtr="0" upright="1">
                          <a:noAutofit/>
                        </wps:bodyPr>
                      </wps:wsp>
                      <wps:wsp>
                        <wps:cNvPr id="12" name="自选图形 33"/>
                        <wps:cNvSpPr>
                          <a:spLocks noChangeArrowheads="1"/>
                        </wps:cNvSpPr>
                        <wps:spPr bwMode="auto">
                          <a:xfrm>
                            <a:off x="0" y="0"/>
                            <a:ext cx="0" cy="0"/>
                          </a:xfrm>
                          <a:prstGeom prst="flowChartExtract">
                            <a:avLst/>
                          </a:prstGeom>
                          <a:solidFill>
                            <a:srgbClr val="FF0000"/>
                          </a:solidFill>
                          <a:ln w="25400">
                            <a:solidFill>
                              <a:srgbClr val="FF0000"/>
                            </a:solidFill>
                            <a:round/>
                          </a:ln>
                          <a:effectLst/>
                        </wps:spPr>
                        <wps:bodyPr rot="0" vert="horz" wrap="square" lIns="91440" tIns="45720" rIns="91440" bIns="45720" anchor="ctr" anchorCtr="0" upright="1">
                          <a:noAutofit/>
                        </wps:bodyPr>
                      </wps:wsp>
                      <wps:wsp>
                        <wps:cNvPr id="13" name="自选图形 29"/>
                        <wps:cNvSpPr>
                          <a:spLocks noChangeArrowheads="1"/>
                        </wps:cNvSpPr>
                        <wps:spPr bwMode="auto">
                          <a:xfrm>
                            <a:off x="0" y="0"/>
                            <a:ext cx="0" cy="0"/>
                          </a:xfrm>
                          <a:prstGeom prst="flowChartExtract">
                            <a:avLst/>
                          </a:prstGeom>
                          <a:solidFill>
                            <a:srgbClr val="FF0000"/>
                          </a:solidFill>
                          <a:ln w="25400">
                            <a:solidFill>
                              <a:srgbClr val="FF0000"/>
                            </a:solidFill>
                            <a:round/>
                          </a:ln>
                          <a:effectLst/>
                        </wps:spPr>
                        <wps:bodyPr rot="0" vert="horz" wrap="square" lIns="91440" tIns="45720" rIns="91440" bIns="45720" anchor="ctr" anchorCtr="0" upright="1">
                          <a:noAutofit/>
                        </wps:bodyPr>
                      </wps:wsp>
                      <wps:wsp>
                        <wps:cNvPr id="14" name="自选图形 34"/>
                        <wps:cNvSpPr>
                          <a:spLocks noChangeArrowheads="1"/>
                        </wps:cNvSpPr>
                        <wps:spPr bwMode="auto">
                          <a:xfrm>
                            <a:off x="0" y="0"/>
                            <a:ext cx="0" cy="0"/>
                          </a:xfrm>
                          <a:prstGeom prst="flowChartExtract">
                            <a:avLst/>
                          </a:prstGeom>
                          <a:solidFill>
                            <a:srgbClr val="FF0000"/>
                          </a:solidFill>
                          <a:ln w="25400">
                            <a:solidFill>
                              <a:srgbClr val="FF0000"/>
                            </a:solidFill>
                            <a:round/>
                          </a:ln>
                          <a:effectLst/>
                        </wps:spPr>
                        <wps:bodyPr rot="0" vert="horz" wrap="square" lIns="91440" tIns="45720" rIns="91440" bIns="45720" anchor="ctr" anchorCtr="0" upright="1">
                          <a:noAutofit/>
                        </wps:bodyPr>
                      </wps:wsp>
                      <wps:wsp>
                        <wps:cNvPr id="15" name="自选图形 35"/>
                        <wps:cNvSpPr>
                          <a:spLocks noChangeArrowheads="1"/>
                        </wps:cNvSpPr>
                        <wps:spPr bwMode="auto">
                          <a:xfrm>
                            <a:off x="0" y="0"/>
                            <a:ext cx="0" cy="0"/>
                          </a:xfrm>
                          <a:prstGeom prst="diamond">
                            <a:avLst/>
                          </a:prstGeom>
                          <a:solidFill>
                            <a:srgbClr val="00B0F0"/>
                          </a:solidFill>
                          <a:ln w="9525">
                            <a:solidFill>
                              <a:srgbClr val="000000"/>
                            </a:solidFill>
                            <a:miter lim="800000"/>
                          </a:ln>
                          <a:effectLst/>
                        </wps:spPr>
                        <wps:bodyPr rot="0" vert="horz" wrap="square" lIns="91440" tIns="45720" rIns="91440" bIns="45720" anchor="t" anchorCtr="0" upright="1">
                          <a:noAutofit/>
                        </wps:bodyPr>
                      </wps:wsp>
                      <wps:wsp>
                        <wps:cNvPr id="16" name="自选图形 32"/>
                        <wps:cNvSpPr>
                          <a:spLocks noChangeArrowheads="1"/>
                        </wps:cNvSpPr>
                        <wps:spPr bwMode="auto">
                          <a:xfrm>
                            <a:off x="0" y="0"/>
                            <a:ext cx="0" cy="0"/>
                          </a:xfrm>
                          <a:prstGeom prst="flowChartExtract">
                            <a:avLst/>
                          </a:prstGeom>
                          <a:solidFill>
                            <a:srgbClr val="FF0000"/>
                          </a:solidFill>
                          <a:ln w="25400">
                            <a:solidFill>
                              <a:srgbClr val="FF0000"/>
                            </a:solidFill>
                            <a:round/>
                          </a:ln>
                          <a:effectLst/>
                        </wps:spPr>
                        <wps:bodyPr rot="0" vert="horz" wrap="square" lIns="91440" tIns="45720" rIns="91440" bIns="45720" anchor="ctr" anchorCtr="0" upright="1">
                          <a:noAutofit/>
                        </wps:bodyPr>
                      </wps:wsp>
                      <wps:wsp>
                        <wps:cNvPr id="17" name="自选图形 31"/>
                        <wps:cNvSpPr>
                          <a:spLocks noChangeArrowheads="1"/>
                        </wps:cNvSpPr>
                        <wps:spPr bwMode="auto">
                          <a:xfrm>
                            <a:off x="0" y="0"/>
                            <a:ext cx="0" cy="0"/>
                          </a:xfrm>
                          <a:prstGeom prst="flowChartExtract">
                            <a:avLst/>
                          </a:prstGeom>
                          <a:solidFill>
                            <a:srgbClr val="FF0000"/>
                          </a:solidFill>
                          <a:ln w="25400">
                            <a:solidFill>
                              <a:srgbClr val="FF0000"/>
                            </a:solidFill>
                            <a:round/>
                          </a:ln>
                          <a:effectLst/>
                        </wps:spPr>
                        <wps:bodyPr rot="0" vert="horz" wrap="square" lIns="91440" tIns="45720" rIns="91440" bIns="45720" anchor="ctr" anchorCtr="0" upright="1">
                          <a:noAutofit/>
                        </wps:bodyPr>
                      </wps:wsp>
                      <wps:wsp>
                        <wps:cNvPr id="18" name="自选图形 28"/>
                        <wps:cNvSpPr>
                          <a:spLocks noChangeArrowheads="1"/>
                        </wps:cNvSpPr>
                        <wps:spPr bwMode="auto">
                          <a:xfrm>
                            <a:off x="0" y="0"/>
                            <a:ext cx="0" cy="0"/>
                          </a:xfrm>
                          <a:prstGeom prst="flowChartExtract">
                            <a:avLst/>
                          </a:prstGeom>
                          <a:solidFill>
                            <a:srgbClr val="FF0000"/>
                          </a:solidFill>
                          <a:ln w="25400">
                            <a:solidFill>
                              <a:srgbClr val="FF0000"/>
                            </a:solidFill>
                            <a:round/>
                          </a:ln>
                          <a:effectLst/>
                        </wps:spPr>
                        <wps:bodyPr rot="0" vert="horz" wrap="square" lIns="91440" tIns="45720" rIns="91440" bIns="45720" anchor="ctr" anchorCtr="0" upright="1">
                          <a:noAutofit/>
                        </wps:bodyPr>
                      </wps:wsp>
                      <wps:wsp>
                        <wps:cNvPr id="19" name="自选图形 30"/>
                        <wps:cNvSpPr>
                          <a:spLocks noChangeArrowheads="1"/>
                        </wps:cNvSpPr>
                        <wps:spPr bwMode="auto">
                          <a:xfrm>
                            <a:off x="0" y="0"/>
                            <a:ext cx="0" cy="0"/>
                          </a:xfrm>
                          <a:prstGeom prst="flowChartExtract">
                            <a:avLst/>
                          </a:prstGeom>
                          <a:solidFill>
                            <a:srgbClr val="FF0000"/>
                          </a:solidFill>
                          <a:ln w="25400">
                            <a:solidFill>
                              <a:srgbClr val="FF0000"/>
                            </a:solidFill>
                            <a:round/>
                          </a:ln>
                          <a:effectLst/>
                        </wps:spPr>
                        <wps:bodyPr rot="0" vert="horz" wrap="square" lIns="91440" tIns="45720" rIns="91440" bIns="45720" anchor="ctr" anchorCtr="0" upright="1">
                          <a:noAutofit/>
                        </wps:bodyPr>
                      </wps:wsp>
                      <wps:wsp>
                        <wps:cNvPr id="20" name="自选图形 27"/>
                        <wps:cNvSpPr>
                          <a:spLocks noChangeArrowheads="1"/>
                        </wps:cNvSpPr>
                        <wps:spPr bwMode="auto">
                          <a:xfrm>
                            <a:off x="0" y="0"/>
                            <a:ext cx="0" cy="0"/>
                          </a:xfrm>
                          <a:prstGeom prst="flowChartExtract">
                            <a:avLst/>
                          </a:prstGeom>
                          <a:solidFill>
                            <a:srgbClr val="FF0000"/>
                          </a:solidFill>
                          <a:ln w="25400">
                            <a:solidFill>
                              <a:srgbClr val="FF0000"/>
                            </a:solidFill>
                            <a:round/>
                          </a:ln>
                          <a:effectLst/>
                        </wps:spPr>
                        <wps:bodyPr rot="0" vert="horz" wrap="square" lIns="91440" tIns="45720" rIns="91440" bIns="45720" anchor="ctr" anchorCtr="0" upright="1">
                          <a:noAutofit/>
                        </wps:bodyPr>
                      </wps:wsp>
                    </wpg:wgp>
                  </a:graphicData>
                </a:graphic>
              </wp:anchor>
            </w:drawing>
          </mc:Choice>
          <mc:Fallback>
            <w:pict>
              <v:group id="组合 43" o:spid="_x0000_s1026" o:spt="203" style="position:absolute;left:0pt;margin-left:229.8pt;margin-top:1.55pt;height:370.2pt;width:438.35pt;z-index:251632640;mso-width-relative:page;mso-height-relative:page;" coordorigin="6339,129336" coordsize="8767,7404" o:gfxdata="UEsDBAoAAAAAAIdO4kAAAAAAAAAAAAAAAAAEAAAAZHJzL1BLAwQUAAAACACHTuJAJgEcKtoAAAAK&#10;AQAADwAAAGRycy9kb3ducmV2LnhtbE2PwU7DMBBE70j8g7VI3Khj3IQSsqlQBZwqJFok1Jsbb5Oo&#10;sR3FbtL+Pe4JjqMZzbwplmfTsZEG3zqLIGYJMLKV062tEb637w8LYD4oq1XnLCFcyMOyvL0pVK7d&#10;ZL9o3ISaxRLrc4XQhNDnnPuqIaP8zPVko3dwg1EhyqHmelBTLDcdf0ySjBvV2rjQqJ5WDVXHzckg&#10;fExqepXibVwfD6vLbpt+/qwFId7fieQFWKBz+AvDFT+iQxmZ9u5ktWcdwjx9zmIUQQpgV1/KTALb&#10;IzzNZQq8LPj/C+UvUEsDBBQAAAAIAIdO4kBRh4y9IAUAAJIiAAAOAAAAZHJzL2Uyb0RvYy54bWzt&#10;Wktv4zYQvhfofyB0T6yX7diIs0icOFhg2w267Q+gJcoSKokqScdOiwI9LDbNJdi99NIFij5OfQA9&#10;FijaX1Mn3X/RGVK248TZ7KZAHgsZiCKS4nD4zTczJKX1B+MsJftMyITnHctZtS3C8oCHST7oWJ98&#10;3FtZs4hUNA9pynPWsQ6YtB5svP/e+qhoM5fHPA2ZICAkl+1R0bFipYp2rSaDmGVUrvKC5dAYcZFR&#10;BUUxqIWCjkB6ltZc227URlyEheABkxJqt02jtaHlRxEL1OMokkyRtGOBbkpfhb728VrbWKftgaBF&#10;nASlGvQaWmQ0yWHQmahtqigZiuSCqCwJBJc8UqsBz2o8ipKA6TnAbBz73Gx2BR8Wei6D9mhQzGAC&#10;aM/hdG2xwYf7e4IkYccCQ+U0AxOd/vl08vxr4nsIzqgYtOGZXVE8KfZEWTEwJZzvOBIZ/oeZkLGG&#10;9WAGKxsrEkBlvd5o2n7dIgG0+U3bqfsl8EEM1sF+Dc9rWQSaHbfleQ1jliDeKSWsNRtN073p2z62&#10;1qZD11DDmUJFErThr0QK7i4gdTWjoJcaCga4o7R8fy8J9oQpzNECbQ1ak2//Pj06JL5rkZDJAKj1&#10;zx9Hk+PvXv14PHn+4vT4l9MXv6PCKAu7G2EUtXzEg08lyXk3pvmAbcoC2AoIgORplRB8FDMaSqzG&#10;WS9K0cUFBftpUvSSNEWT4H0JBGh1jjBLYDBk3ObBMGO5Mt4lWEoVuLaMk0JaRLRZ1mdAFvEwdDTf&#10;wcaPpMLh0Nqa8V+4a5u23XK3Vrp1u7vi282dlc2W31xp2jtovjWn63S/xN6O3x5KBjDQdLtIpu7n&#10;+Be0XUrvMhAYx9EOSPapdnPDD1BI82SqIlAGIUFdpQg+ArAxKNT9BiAOuLue48EMO1bLc11DQKkE&#10;U0GMPSIAFbsY0bMGbYE56GgeCX6CPd7EMyAioU9ob5gxGrghpNplPCN4A2DDuBpsug9YGw2mj+BI&#10;OUeTQz1tp/lCBcg0NUyHwrL3XEutPhTRzyH+yilfoPRmNsDouyxyPYlpgR6EYudO48B8jdecfHN4&#10;8vLXk++fEe3N5WMYYogab3GICIZesjjnJBc84kxXMxziT/qjD3gIsYwOFdfQ3ZI1yAhjW93WOkie&#10;JuHUO6UY9LupKClr46+MawuPQQbIQ2PyJZbEyRu+4Z0a98fwKN72eXgAMAgO9AHQIUHDTczF5xYZ&#10;QbLrWPKzIYUYR9KHOZi65fgQkonSBb/edKEgzrb0z7bQPABRHUtZxNx2FZSgy7AQySCGkYzxcr4J&#10;8EeJpuxcK3BKLADbbop2GFJ1ajv56bfJy2fEJBhUAriJpEOnuYNUYynEK4l+RNuX+P4CWRY41et1&#10;L+FUmiMtXcjCV/GyB7//z8sbIWOgxH2hIywVDB3/Pfz51VdHsIKY/PUD8cr11l0nZZTyEaxYhNoZ&#10;K0Ffn5lex87LIt7bsPMyGW8TNSt2mjhYbgNwEbSEnW4Ls9PdD5kVO6+RyO9R7PSXstM7v4q8owm9&#10;Yue7zU4441gSO736/YidYUIznofXW27a9pbdW7qFMQm9VXfr194FZYmCU8I0yeCYCnP+dJwrt0Q3&#10;ktzvzT6osZye+rSjSu3VwtNszI3P3PwuHU54lwVPffBZsbNi5+2yc/Z6ZGHT7q7dj9ReLTzf7YXn&#10;7HXUAjs9vU6qYmcVO281duLbhCWZ3W1WsRPPKSp2XsZO/W4fPnzQr3HLjzTwy4qzZb1OnX9KsvEf&#10;UEsDBAoAAAAAAIdO4kAAAAAAAAAAAAAAAAAKAAAAZHJzL21lZGlhL1BLAwQUAAAACACHTuJAfGoi&#10;pp8KAACsCwAAFQAAAGRycy9tZWRpYS9pbWFnZTEuanBlZ5VWB1QT2xadSUgjlATwSQklKiImtNBU&#10;epWiKE1BigYEFBAMSHt0VEAfSjGIBUSQFulYniBKwIA0CaCAlCfwKQooRSxAKH+Cr/y//ltvrX9m&#10;zb3nnLv23Jl79t13Nt5ujAA4C1NzUwAEQeAEdAEbg4ARgEYiUUgEGoVCYTBoXj4Rfj4slk9MSFhQ&#10;RFJcWkpSnECQ2aEoJ7ONvJ1A2KUpT1ZWUVNTk5bbq7OHoq2oqkbhPgTEYDB8WD5Rfn5RCpFApPzf&#10;ttEA4NFAMZAJB7cBMDwIx4MbLEACAAEYHHrbv4wHCUegQBg0uIX7Gf9tsI0BgA8OYXBwHACAdTEA&#10;ICUFNZCBLoOLqsXhAtS2UtGcrRXcFKzY+/71bH2uC4D2j+wtD0tRGRnK3BDG8JpEmbSxVzCMiWpi&#10;1vBQGJREvRzWUnII8zIn1TimYl2ifdhmHC2XzlQ6AC5+tSevH3m2I0A3mz4hVpNY6hM8AD8TOFnz&#10;+vHoRCR6cLXhS0aagLvv8goAFzhFdxvtmHl9pXXMUmMDoPknsJjcKTVxcwQWI2hg7WOe0QOWgm4M&#10;lATUB/HCitSJYz1HFGSgkFjgSbyU6OYmeiN+519OMrQaCjgA5IEBPDw8KC4OMh4AhMERQsJblPWR&#10;eBENnAxRZbssRVXdyBRaJTS0diACNhex/uz2yeL30ryyKleT+1hZbvm+iInHK/UeJ5v00Yvximk5&#10;9Jlfq59qfNf0fDf5cXBoGFUplhKa0ccJTW8tjvSQTVUkCtq9e+H0qYfef91zcHfLCJVkUfP2tXV+&#10;89OptaWoq/S8ziSzsoM0Qd7KMHnXqOhlbUltmUBHKXJK3GBkeuTuKc/PWnscScY0q7tPCKQxdtu6&#10;ru0OJ5hkkGNEbL2iyO4E9sMjC85m5OuGcEF57fHiqiCL2kzzXA1TFMvfWf9Tsrhuhd0klvW1QclV&#10;fBK83y7evxoGWKbwVKMtU1F1REwALmMbItXO7YONFNkc1h5UhfPBZu2xdhewEpoAFW2Eygnqtp6f&#10;/TM41nLdagfbjxk28nw/EOxOCS3OOelbb9B61/tlgtXyI2utPbMlj4ObQecqq9CLSUy9yR3ucxHp&#10;CjsTbFZuTSuWTtfgwuWSEBfusX7Svr7LS1phoo/N/0IOk/zZiRJT63576FkA61JQU5Z7Q5zn54Oz&#10;fuw1pcja65+dWvxl/6mDCiuOh0oFg/+o6Y9WCDTQPzG/WUVoc+iBI15Rw3b58hY29Hw9CEHgIoA/&#10;aLAJEQJhKvoGv2NgXMxbjzHB0z2bGPlDEEgD4g8MDscgUIjfp+LOilcRIlJ4cMLb9A2sA9OU1Qxp&#10;qSIyqlS32LjtO2wDrv1OJKQebNCjinBtgnT8KN9CQFdsZdu2MJEwydr9BmeK0nqwJqc4pr9YLu/c&#10;p0pmXa94ldFwhf+Vr1l8jqS2pgVBQTSiTPMjKrVKyrQ5TII47pVyP4FHqzGKGcbLPKs4Up5LYZ26&#10;8V2irYlpRglOwl7Lre1otgovwocVTAhyeLSfUt6LAQWEzG+P31y7LdxosoTwXSo/ht5vd1SZfIZZ&#10;sBwcxeZbZtjXqRNlQnd68DEtPLKFj92+ZtQoL6+2VURaugtZeTd4Cxb31WFw+koGbNHY2TvwGFWm&#10;FGn/LSD+vVjimTSVqsT5t4K9P5WcUh3zVVxElRA5N3SoIUXSH7b+fL6Xe29JpI1WD8GfteoxqCE2&#10;DbN5JhlBZMVpB8k3FVK5JY8eZzf0m6RVkTvWWoNBz/dkBZuTKoqU4wxMWcAS/3GweETFKQFTGoKf&#10;W3vgs++rR4a66MLZx5xeW2ZFCyF5V1FeL+PNEQctS7+7Jik69oU1HupPfy1EugSorlOSnDNd9t49&#10;/sujCNVaOeXZXeqPSDPqh0c08tF+ZfHhwOWuwIyHxlIWjH5jC+yt5O0n+IPHJbxHGDc+axg1D07f&#10;/1+rg5ggj4MqD8LhcJ4/WAcCeBUidR7iAE55QYYWW185mprT9YeK6BFnTj872k1L6ktWDvw1tyKf&#10;0z/ZhZEQPjT+fWr/uq/irZq+90ERvU7nJZTybcpqH7iYW50jdvMWfuo8qxnvmhxbZ84c/nC4DYq+&#10;9haMOQyofeu7W+mnN22r881TPMNV2CtlToket+4pHU5z3+qDfRgkipW8j17f98XKnV392zoY25TE&#10;WBo6GOz6Wo/w4mX147h35lorCnRe5sVmnefd7S0XsmWqo3HeI/BVsf3TJBOJJVZFJfnBE7WbdD6p&#10;l69+1hoVupAWM1STrpCOuBiyvf7TuJ/kvtchQYkHDahwkyOjG0Dgzaix+QRyB42TqfX9A5NVgom0&#10;af2S0FrIPsHQEy/sKOxwI51OH1iw4W3VSCk/ECzuEX2f3/9pJZDFnNF1zNSIsOMTi+k9PWybM9zZ&#10;gmK6WUSWivlHTxI1v/0Le74QCA7Z10AlPQtPOHanl2owRrZsr7+U3wMLxB9GvviGzz5uK6yjejxE&#10;aMsBtj0vyQLt+krCVtam86bJscjuwx/Dl5qDOK2OVuQDDRjLLjHW8N3u1l6VpE47mL71JeZwHnJW&#10;fWYZ02xlGCCcknlhXI64928CqJKbpybAVRncIlt7jK0NtYvt2g9+OIc2Q/aesU3ndT0BGn3QCBAP&#10;aac0kd3NCAuHtA0slaHkYocofBMy38GFbLqLbK4oSf4Qpf88sfEgxKgTOZWjfyoZrtnHP/mlK83M&#10;EHeBiDb6Wy3DA6D+idScyvpNFFfLcM2+yl8W39G5GEMcl8K7flAYRP/57wBRmKhiPW+AU9an0mJT&#10;c2Qqu+oX/mQwbuGeYkb9qHCs+U+Nei+kMW6aR/vcleB7lNcSnxdMik0Ab7NW77ner5rf21s2U2rH&#10;73n1ubR191xwqpfL5S5EU0bpuZqPlQ5Ps/InfdB3DjsoUMYZVq3ndCJQgi267KVQXek0e1JtyczI&#10;k6hDL4yxw8yzq1mXEaX60mm5uhhskRt/XMgYgPT5EH/STtv7zFSD5fTOgeX9MjE/u2+REH6OLBuy&#10;vi47ISJBWjd1udjW+ppz4ebO01pHR7bn1ayblc7Or4V4iR7JwtzDp8khfNVpiPRC76flZS2YLQVz&#10;8groflGnyGCBuWx9v1P0Qy+DcmipL957fzoJiKhfCXPeesDuzLdfQh9c6aOdQx54W8I7YZETSaMr&#10;TfJfUr6c7EAtUr7MBwCdq51v1ip19vcLvan2Vxpo+MA5LTaObvNdNU1ywpWct8D9xqfTgDC/1+si&#10;1TAyQI+vseuJK7XycPYu0065WmH+ktjEiZnssTd5KNBpXCltxQzKtdsAytf191WhyoUqxMromgyJ&#10;Ers7lPIvNxPePJS+wRPjGGCYOWyjpvm2c9YzeiCaCpO3MViUTzmbt/QEJTyLauTERJ/UFKDHtUbd&#10;MD2nR57Jlfougj2XPulAWTWxjSI0OD88/BXOdixJn+qmlycW/Gbk15Nt1mySYL27jpE7fLS2a8jS&#10;0HY9q7mpqCJ0SvyhrAXvklPiOw9fcxL27FE5FmXXrblnvbIaokWNNHIfv6Nli/yBsunxxJQevykG&#10;cyU+UUdgAyiNp9bUGW/fm7Ii0df+xsS3bdc0SbPuif4r+EooktxysT0AIOXZTIUzvYwMz67ewdHF&#10;gzgR0bhMQxqGJfdP3Ub/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EJw4ioGAQAAFQIAABMAAABbQ29udGVudF9UeXBlc10ueG1s&#10;lZHBTsMwDIbvSLxDlCtq0+2AEGq7wzqOgNB4gChx20DjRHEo29uTdpsE00DimNjf789JudrZgY0Q&#10;yDis+CIvOANUThvsKv66fcjuOKMoUcvBIVR8D8RX9fVVud17IJZopIr3Mfp7IUj1YCXlzgOmSuuC&#10;lTEdQye8VO+yA7EsiluhHEbAmMUpg9dlA638GCLb7NL1weTNQ8fZ+tA4zaq4sVPAXBAXmQADnTHS&#10;+8EoGdN2YkR9ZpYdrfJEzj3UG083SZ1fnjBVfkp9H3DkntJzBqOBPcsQH6VN6kIHEtp9YoAx/ztk&#10;srSUubY1CvImUJOwFxhPVr+lw9I1Tv03fDNTp2wxf2r9BVBLAQIUABQAAAAIAIdO4kBCcOIqBgEA&#10;ABUCAAATAAAAAAAAAAEAIAAAAKATAABbQ29udGVudF9UeXBlc10ueG1sUEsBAhQACgAAAAAAh07i&#10;QAAAAAAAAAAAAAAAAAYAAAAAAAAAAAAQAAAAbxEAAF9yZWxzL1BLAQIUABQAAAAIAIdO4kCKFGY8&#10;0QAAAJQBAAALAAAAAAAAAAEAIAAAAJMRAABfcmVscy8ucmVsc1BLAQIUAAoAAAAAAIdO4kAAAAAA&#10;AAAAAAAAAAAEAAAAAAAAAAAAEAAAAAAAAABkcnMvUEsBAhQACgAAAAAAh07iQAAAAAAAAAAAAAAA&#10;AAoAAAAAAAAAAAAQAAAAjRIAAGRycy9fcmVscy9QSwECFAAUAAAACACHTuJAWGCzG7QAAAAiAQAA&#10;GQAAAAAAAAABACAAAAC1EgAAZHJzL19yZWxzL2Uyb0RvYy54bWwucmVsc1BLAQIUABQAAAAIAIdO&#10;4kAmARwq2gAAAAoBAAAPAAAAAAAAAAEAIAAAACIAAABkcnMvZG93bnJldi54bWxQSwECFAAUAAAA&#10;CACHTuJAUYeMvSAFAACSIgAADgAAAAAAAAABACAAAAApAQAAZHJzL2Uyb0RvYy54bWxQSwECFAAK&#10;AAAAAACHTuJAAAAAAAAAAAAAAAAACgAAAAAAAAAAABAAAAB1BgAAZHJzL21lZGlhL1BLAQIUABQA&#10;AAAIAIdO4kB8aiKmnwoAAKwLAAAVAAAAAAAAAAEAIAAAAJ0GAABkcnMvbWVkaWEvaW1hZ2UxLmpw&#10;ZWdQSwUGAAAAAAoACgBTAgAA1xQAAAAA&#10;">
                <o:lock v:ext="edit" aspectratio="f"/>
                <v:shape id="图片 42" o:spid="_x0000_s1026" o:spt="75" alt="三原风向玫瑰" type="#_x0000_t75" style="position:absolute;left:0;top:0;height:0;width:0;" filled="f" o:preferrelative="t" stroked="f" coordsize="21600,21600" o:gfxdata="UEsDBAoAAAAAAIdO4kAAAAAAAAAAAAAAAAAEAAAAZHJzL1BLAwQUAAAACACHTuJAchWbkb0AAADa&#10;AAAADwAAAGRycy9kb3ducmV2LnhtbEWPT2sCMRTE74V+h/AEbzWrh2JX4x7E0kJRUCv1+Ny8/dNu&#10;XkISXf32plDocZiZ3zDz4mo6cSEfWssKxqMMBHFpdcu1gs/969MURIjIGjvLpOBGAYrF48Mcc217&#10;3tJlF2uRIBxyVNDE6HIpQ9mQwTCyjjh5lfUGY5K+ltpjn+Cmk5Mse5YGW04LDTpaNlT+7M5GgTt8&#10;bdYfb5vV4Vg5/91q30+2J6WGg3E2AxHpGv/Df+13reAFfq+kG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FZuRvQAA&#10;ANoAAAAPAAAAAAAAAAEAIAAAACIAAABkcnMvZG93bnJldi54bWxQSwECFAAUAAAACACHTuJAMy8F&#10;njsAAAA5AAAAEAAAAAAAAAABACAAAAAMAQAAZHJzL3NoYXBleG1sLnhtbFBLBQYAAAAABgAGAFsB&#10;AAC2AwAAAAA=&#10;">
                  <v:fill on="f" focussize="0,0"/>
                  <v:stroke on="f"/>
                  <v:imagedata r:id="rId9" cropleft="3579f" croptop="1516f" cropright="6109f" o:title=""/>
                  <o:lock v:ext="edit" aspectratio="t"/>
                </v:shape>
                <v:shape id="文本框 4" o:spid="_x0000_s1026" o:spt="202" type="#_x0000_t202" style="position:absolute;left:0;top:0;height:0;width:0;" filled="f" stroked="t" coordsize="21600,21600" o:gfxdata="UEsDBAoAAAAAAIdO4kAAAAAAAAAAAAAAAAAEAAAAZHJzL1BLAwQUAAAACACHTuJAzUeVzr8AAADb&#10;AAAADwAAAGRycy9kb3ducmV2LnhtbEWPT0sDMRDF70K/Q5iCN5u04B+2TXuQFhREsBXrcbqZbhaT&#10;ybqJ2+qndw6Ctxnem/d+s1idY1AD9blNbGE6MaCI6+Rabiy87jZXd6ByQXYYEpOFb8qwWo4uFli5&#10;dOIXGralURLCuUILvpSu0jrXniLmSeqIRTumPmKRtW+06/Ek4THomTE3OmLL0uCxo3tP9cf2K1p4&#10;ett/rjfP72ZPh9BeD+HWP/4crL0cT80cVKFz+Tf/XT84wRd6+UU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Hlc6/&#10;AAAA2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textbox>
                    <w:txbxContent>
                      <w:p>
                        <w:pPr>
                          <w:ind w:firstLine="422" w:firstLineChars="200"/>
                          <w:rPr>
                            <w:b/>
                            <w:bCs/>
                            <w:sz w:val="21"/>
                            <w:szCs w:val="21"/>
                          </w:rPr>
                        </w:pPr>
                        <w:r>
                          <w:rPr>
                            <w:rFonts w:hint="eastAsia"/>
                            <w:b/>
                            <w:bCs/>
                            <w:sz w:val="21"/>
                            <w:szCs w:val="21"/>
                          </w:rPr>
                          <w:t>图 例</w:t>
                        </w:r>
                      </w:p>
                      <w:p>
                        <w:pPr>
                          <w:rPr>
                            <w:sz w:val="21"/>
                            <w:szCs w:val="21"/>
                          </w:rPr>
                        </w:pPr>
                        <w:r>
                          <w:rPr>
                            <w:rFonts w:hint="eastAsia"/>
                            <w:sz w:val="21"/>
                            <w:szCs w:val="21"/>
                          </w:rPr>
                          <w:t xml:space="preserve">    </w:t>
                        </w:r>
                      </w:p>
                      <w:p>
                        <w:pPr>
                          <w:ind w:firstLine="420" w:firstLineChars="200"/>
                          <w:rPr>
                            <w:sz w:val="21"/>
                            <w:szCs w:val="21"/>
                          </w:rPr>
                        </w:pPr>
                        <w:r>
                          <w:rPr>
                            <w:rFonts w:hint="eastAsia"/>
                            <w:sz w:val="21"/>
                            <w:szCs w:val="21"/>
                          </w:rPr>
                          <w:t>化粪池</w:t>
                        </w:r>
                      </w:p>
                      <w:p>
                        <w:pPr>
                          <w:ind w:firstLine="420"/>
                          <w:rPr>
                            <w:sz w:val="21"/>
                            <w:szCs w:val="21"/>
                          </w:rPr>
                        </w:pPr>
                        <w:r>
                          <w:rPr>
                            <w:rFonts w:hint="eastAsia"/>
                            <w:sz w:val="21"/>
                            <w:szCs w:val="21"/>
                          </w:rPr>
                          <w:t>噪声设备</w:t>
                        </w:r>
                      </w:p>
                      <w:p>
                        <w:pPr>
                          <w:ind w:firstLine="420" w:firstLineChars="200"/>
                          <w:rPr>
                            <w:sz w:val="21"/>
                            <w:szCs w:val="21"/>
                          </w:rPr>
                        </w:pPr>
                        <w:r>
                          <w:rPr>
                            <w:rFonts w:hint="eastAsia"/>
                            <w:sz w:val="21"/>
                            <w:szCs w:val="21"/>
                          </w:rPr>
                          <w:t>厨房油烟</w:t>
                        </w:r>
                      </w:p>
                    </w:txbxContent>
                  </v:textbox>
                </v:shape>
                <v:shape id="椭圆 36" o:spid="_x0000_s1026" o:spt="3" type="#_x0000_t3" style="position:absolute;left:0;top:0;height:0;width:0;v-text-anchor:middle;" fillcolor="#FFC000" filled="t" stroked="t" coordsize="21600,21600" o:gfxdata="UEsDBAoAAAAAAIdO4kAAAAAAAAAAAAAAAAAEAAAAZHJzL1BLAwQUAAAACACHTuJAVhiTyLoAAADb&#10;AAAADwAAAGRycy9kb3ducmV2LnhtbEVPS4vCMBC+L/gfwgje1rSC7lKNggVBQQ9r14O3oRmbYjMp&#10;TXz+eiMs7G0+vufMFnfbiCt1vnasIB0mIIhLp2uuFPwWq89vED4ga2wck4IHeVjMex8zzLS78Q9d&#10;96ESMYR9hgpMCG0mpS8NWfRD1xJH7uQ6iyHCrpK6w1sMt40cJclEWqw5NhhsKTdUnvcXq2C8PG52&#10;zXNrW/lVmPyZ1ydzyJUa9NNkCiLQPfyL/9xrHeen8P4lHi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GJPIugAAANsA&#10;AAAPAAAAAAAAAAEAIAAAACIAAABkcnMvZG93bnJldi54bWxQSwECFAAUAAAACACHTuJAMy8FnjsA&#10;AAA5AAAAEAAAAAAAAAABACAAAAAJAQAAZHJzL3NoYXBleG1sLnhtbFBLBQYAAAAABgAGAFsBAACz&#10;AwAAAAA=&#10;">
                  <v:fill on="t" focussize="0,0"/>
                  <v:stroke weight="2pt" color="#FFFF00" joinstyle="round"/>
                  <v:imagedata o:title=""/>
                  <o:lock v:ext="edit" aspectratio="f"/>
                </v:shape>
                <v:shape id="自选图形 33" o:spid="_x0000_s1026" o:spt="127" type="#_x0000_t127" style="position:absolute;left:0;top:0;height:0;width:0;v-text-anchor:middle;" fillcolor="#FF0000" filled="t" stroked="t" coordsize="21600,21600" o:gfxdata="UEsDBAoAAAAAAIdO4kAAAAAAAAAAAAAAAAAEAAAAZHJzL1BLAwQUAAAACACHTuJAbMWl87oAAADb&#10;AAAADwAAAGRycy9kb3ducmV2LnhtbEVPTWvCQBC9C/0PyxR6Mxs9iE2zCpUWLMFD0vY+ZMckmJ1N&#10;s6PRf+8WCr3N431Ovr26Xl1oDJ1nA4skBUVce9txY+Dr832+BhUE2WLvmQzcKMB28zDLMbN+4pIu&#10;lTQqhnDI0EArMmRah7olhyHxA3Hkjn50KBGOjbYjTjHc9XqZpivtsOPY0OJAu5bqU3V2BoaP4q0r&#10;Xp8r+0Pfq6msxe/kYMzT4yJ9ASV0lX/xn3tv4/wl/P4SD9C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xaXzugAAANsA&#10;AAAPAAAAAAAAAAEAIAAAACIAAABkcnMvZG93bnJldi54bWxQSwECFAAUAAAACACHTuJAMy8FnjsA&#10;AAA5AAAAEAAAAAAAAAABACAAAAAJAQAAZHJzL3NoYXBleG1sLnhtbFBLBQYAAAAABgAGAFsBAACz&#10;AwAAAAA=&#10;">
                  <v:fill on="t" focussize="0,0"/>
                  <v:stroke weight="2pt" color="#FF0000" joinstyle="round"/>
                  <v:imagedata o:title=""/>
                  <o:lock v:ext="edit" aspectratio="f"/>
                </v:shape>
                <v:shape id="自选图形 29" o:spid="_x0000_s1026" o:spt="127" type="#_x0000_t127" style="position:absolute;left:0;top:0;height:0;width:0;v-text-anchor:middle;" fillcolor="#FF0000" filled="t" stroked="t" coordsize="21600,21600" o:gfxdata="UEsDBAoAAAAAAIdO4kAAAAAAAAAAAAAAAAAEAAAAZHJzL1BLAwQUAAAACACHTuJAA4kAaLoAAADb&#10;AAAADwAAAGRycy9kb3ducmV2LnhtbEVPTWvCQBC9C/6HZYTezCYtiI2ugYqFFunBtL0P2TEJzc7G&#10;7NTYf+8KBW/zeJ+zLi6uU2caQuvZQJakoIgrb1uuDXx9vs6XoIIgW+w8k4E/ClBsppM15taPfKBz&#10;KbWKIRxyNNCI9LnWoWrIYUh8Txy5ox8cSoRDre2AYwx3nX5M04V22HJsaLCnbUPVT/nrDPTv+127&#10;f3ku7Ym+F+OhEr+VD2MeZlm6AiV0kbv43/1m4/wnuP0SD9CbK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iQBougAAANsA&#10;AAAPAAAAAAAAAAEAIAAAACIAAABkcnMvZG93bnJldi54bWxQSwECFAAUAAAACACHTuJAMy8FnjsA&#10;AAA5AAAAEAAAAAAAAAABACAAAAAJAQAAZHJzL3NoYXBleG1sLnhtbFBLBQYAAAAABgAGAFsBAACz&#10;AwAAAAA=&#10;">
                  <v:fill on="t" focussize="0,0"/>
                  <v:stroke weight="2pt" color="#FF0000" joinstyle="round"/>
                  <v:imagedata o:title=""/>
                  <o:lock v:ext="edit" aspectratio="f"/>
                </v:shape>
                <v:shape id="自选图形 34" o:spid="_x0000_s1026" o:spt="127" type="#_x0000_t127" style="position:absolute;left:0;top:0;height:0;width:0;v-text-anchor:middle;" fillcolor="#FF0000" filled="t" stroked="t" coordsize="21600,21600" o:gfxdata="UEsDBAoAAAAAAIdO4kAAAAAAAAAAAAAAAAAEAAAAZHJzL1BLAwQUAAAACACHTuJAjGCYHLoAAADb&#10;AAAADwAAAGRycy9kb3ducmV2LnhtbEVPTWvCQBC9C/6HZYTezCaliI2ugYqFFunBtL0P2TEJzc7G&#10;7NTYf+8KBW/zeJ+zLi6uU2caQuvZQJakoIgrb1uuDXx9vs6XoIIgW+w8k4E/ClBsppM15taPfKBz&#10;KbWKIRxyNNCI9LnWoWrIYUh8Txy5ox8cSoRDre2AYwx3nX5M04V22HJsaLCnbUPVT/nrDPTv+127&#10;f3ku7Ym+F+OhEr+VD2MeZlm6AiV0kbv43/1m4/wnuP0SD9CbK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YJgcugAAANsA&#10;AAAPAAAAAAAAAAEAIAAAACIAAABkcnMvZG93bnJldi54bWxQSwECFAAUAAAACACHTuJAMy8FnjsA&#10;AAA5AAAAEAAAAAAAAAABACAAAAAJAQAAZHJzL3NoYXBleG1sLnhtbFBLBQYAAAAABgAGAFsBAACz&#10;AwAAAAA=&#10;">
                  <v:fill on="t" focussize="0,0"/>
                  <v:stroke weight="2pt" color="#FF0000" joinstyle="round"/>
                  <v:imagedata o:title=""/>
                  <o:lock v:ext="edit" aspectratio="f"/>
                </v:shape>
                <v:shape id="自选图形 35" o:spid="_x0000_s1026" o:spt="4" type="#_x0000_t4" style="position:absolute;left:0;top:0;height:0;width:0;" fillcolor="#00B0F0" filled="t" stroked="t" coordsize="21600,21600" o:gfxdata="UEsDBAoAAAAAAIdO4kAAAAAAAAAAAAAAAAAEAAAAZHJzL1BLAwQUAAAACACHTuJAxxIElLwAAADb&#10;AAAADwAAAGRycy9kb3ducmV2LnhtbEVPS4vCMBC+C/6HMMJeRFMFH9SmHmSF7sGDj4u3sRnbYjMp&#10;TVa7/vqNIHibj+85yboztbhT6yrLCibjCARxbnXFhYLTcTtagnAeWWNtmRT8kYN12u8lGGv74D3d&#10;D74QIYRdjApK75tYSpeXZNCNbUMcuKttDfoA20LqFh8h3NRyGkVzabDi0FBiQ5uS8tvh1yi4zOX5&#10;57nLnpk+dpfTd7PoquFCqa/BJFqB8NT5j/jtznSYP4PXL+EAm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SBJS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shape>
                <v:shape id="自选图形 32" o:spid="_x0000_s1026" o:spt="127" type="#_x0000_t127" style="position:absolute;left:0;top:0;height:0;width:0;v-text-anchor:middle;" fillcolor="#FF0000" filled="t" stroked="t" coordsize="21600,21600" o:gfxdata="UEsDBAoAAAAAAIdO4kAAAAAAAAAAAAAAAAAEAAAAZHJzL1BLAwQUAAAACACHTuJAE/6j8LoAAADb&#10;AAAADwAAAGRycy9kb3ducmV2LnhtbEVPTWvCQBC9F/wPywi91U16CG10DSgWLNKDUe9DdkyC2dmY&#10;HY39991Cobd5vM9ZFA/XqTsNofVsIJ0loIgrb1uuDRwPHy9voIIgW+w8k4FvClAsJ08LzK0feU/3&#10;UmoVQzjkaKAR6XOtQ9WQwzDzPXHkzn5wKBEOtbYDjjHcdfo1STLtsOXY0GBP64aqS3lzBvrP3abd&#10;rd5Le6VTNu4r8Wv5MuZ5miZzUEIP+Rf/ubc2zs/g95d4gF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qPwugAAANsA&#10;AAAPAAAAAAAAAAEAIAAAACIAAABkcnMvZG93bnJldi54bWxQSwECFAAUAAAACACHTuJAMy8FnjsA&#10;AAA5AAAAEAAAAAAAAAABACAAAAAJAQAAZHJzL3NoYXBleG1sLnhtbFBLBQYAAAAABgAGAFsBAACz&#10;AwAAAAA=&#10;">
                  <v:fill on="t" focussize="0,0"/>
                  <v:stroke weight="2pt" color="#FF0000" joinstyle="round"/>
                  <v:imagedata o:title=""/>
                  <o:lock v:ext="edit" aspectratio="f"/>
                </v:shape>
                <v:shape id="自选图形 31" o:spid="_x0000_s1026" o:spt="127" type="#_x0000_t127" style="position:absolute;left:0;top:0;height:0;width:0;v-text-anchor:middle;" fillcolor="#FF0000" filled="t" stroked="t" coordsize="21600,21600" o:gfxdata="UEsDBAoAAAAAAIdO4kAAAAAAAAAAAAAAAAAEAAAAZHJzL1BLAwQUAAAACACHTuJAfLIGa7kAAADb&#10;AAAADwAAAGRycy9kb3ducmV2LnhtbEVPTWvCQBC9F/oflil4qxs9aI2uglJBkR6Meh+yYxLMzqbZ&#10;0ei/d4VCb/N4nzNb3F2tbtSGyrOBQT8BRZx7W3Fh4HhYf36BCoJssfZMBh4UYDF/f5than3He7pl&#10;UqgYwiFFA6VIk2od8pIchr5viCN39q1DibAttG2xi+Gu1sMkGWmHFceGEhtalZRfsqsz0Gx339Vu&#10;OcnsL51G3T4Xv5IfY3ofg2QKSugu/+I/98bG+WN4/RIP0PM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yyBmu5AAAA2wAA&#10;AA8AAAAAAAAAAQAgAAAAIgAAAGRycy9kb3ducmV2LnhtbFBLAQIUABQAAAAIAIdO4kAzLwWeOwAA&#10;ADkAAAAQAAAAAAAAAAEAIAAAAAgBAABkcnMvc2hhcGV4bWwueG1sUEsFBgAAAAAGAAYAWwEAALID&#10;AAAAAA==&#10;">
                  <v:fill on="t" focussize="0,0"/>
                  <v:stroke weight="2pt" color="#FF0000" joinstyle="round"/>
                  <v:imagedata o:title=""/>
                  <o:lock v:ext="edit" aspectratio="f"/>
                </v:shape>
                <v:shape id="自选图形 28" o:spid="_x0000_s1026" o:spt="127" type="#_x0000_t127" style="position:absolute;left:0;top:0;height:0;width:0;v-text-anchor:middle;" fillcolor="#FF0000" filled="t" stroked="t" coordsize="21600,21600" o:gfxdata="UEsDBAoAAAAAAIdO4kAAAAAAAAAAAAAAAAAEAAAAZHJzL1BLAwQUAAAACACHTuJADS2SGbwAAADb&#10;AAAADwAAAGRycy9kb3ducmV2LnhtbEWPQWvCQBCF74X+h2UK3urGHkRTV6GioEgPRnsfstMkNDub&#10;ZqdG/33nIHib4b1575vF6hpac6E+NZEdTMYZGOIy+oYrB+fT9nUGJgmyxzYyObhRgtXy+WmBuY8D&#10;H+lSSGU0hFOODmqRLrc2lTUFTOPYEav2HfuAomtfWd/joOGhtW9ZNrUBG9aGGjta11T+FH/BQbc/&#10;bJrDx7zwv/Q1HY6lxLV8Ojd6mWTvYISu8jDfr3de8RVWf9EB7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tkhm8AAAA&#10;2wAAAA8AAAAAAAAAAQAgAAAAIgAAAGRycy9kb3ducmV2LnhtbFBLAQIUABQAAAAIAIdO4kAzLwWe&#10;OwAAADkAAAAQAAAAAAAAAAEAIAAAAAsBAABkcnMvc2hhcGV4bWwueG1sUEsFBgAAAAAGAAYAWwEA&#10;ALUDAAAAAA==&#10;">
                  <v:fill on="t" focussize="0,0"/>
                  <v:stroke weight="2pt" color="#FF0000" joinstyle="round"/>
                  <v:imagedata o:title=""/>
                  <o:lock v:ext="edit" aspectratio="f"/>
                </v:shape>
                <v:shape id="自选图形 30" o:spid="_x0000_s1026" o:spt="127" type="#_x0000_t127" style="position:absolute;left:0;top:0;height:0;width:0;v-text-anchor:middle;" fillcolor="#FF0000" filled="t" stroked="t" coordsize="21600,21600" o:gfxdata="UEsDBAoAAAAAAIdO4kAAAAAAAAAAAAAAAAAEAAAAZHJzL1BLAwQUAAAACACHTuJAYmE3groAAADb&#10;AAAADwAAAGRycy9kb3ducmV2LnhtbEVPTWvCQBC9C/0PyxR6040eQk1dhYpCS/Bg2t6H7JgEs7Np&#10;dkzSf+8WCr3N433OZje5Vg3Uh8azgeUiAUVcettwZeDz4zh/BhUE2WLrmQz8UIDd9mG2wcz6kc80&#10;FFKpGMIhQwO1SJdpHcqaHIaF74gjd/G9Q4mwr7TtcYzhrtWrJEm1w4ZjQ40d7Wsqr8XNGeje80OT&#10;v64L+01f6Xguxe/lZMzT4zJ5ASU0yb/4z/1m4/w1/P4SD9D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YTeCugAAANsA&#10;AAAPAAAAAAAAAAEAIAAAACIAAABkcnMvZG93bnJldi54bWxQSwECFAAUAAAACACHTuJAMy8FnjsA&#10;AAA5AAAAEAAAAAAAAAABACAAAAAJAQAAZHJzL3NoYXBleG1sLnhtbFBLBQYAAAAABgAGAFsBAACz&#10;AwAAAAA=&#10;">
                  <v:fill on="t" focussize="0,0"/>
                  <v:stroke weight="2pt" color="#FF0000" joinstyle="round"/>
                  <v:imagedata o:title=""/>
                  <o:lock v:ext="edit" aspectratio="f"/>
                </v:shape>
                <v:shape id="自选图形 27" o:spid="_x0000_s1026" o:spt="127" type="#_x0000_t127" style="position:absolute;left:0;top:0;height:0;width:0;v-text-anchor:middle;" fillcolor="#FF0000" filled="t" stroked="t" coordsize="21600,21600" o:gfxdata="UEsDBAoAAAAAAIdO4kAAAAAAAAAAAAAAAAAEAAAAZHJzL1BLAwQUAAAACACHTuJAPTdUorgAAADb&#10;AAAADwAAAGRycy9kb3ducmV2LnhtbEVPTYvCMBC9L/gfwgje1lQPsluNgqKgiAer3odmbIvNpDaj&#10;1X9vDgt7fLzv2eLlavWkNlSeDYyGCSji3NuKCwPn0+b7B1QQZIu1ZzLwpgCLee9rhqn1HR/pmUmh&#10;YgiHFA2UIk2qdchLchiGviGO3NW3DiXCttC2xS6Gu1qPk2SiHVYcG0psaFVSfssezkCz26+r/fI3&#10;s3e6TLpjLn4lB2MG/VEyBSX0kn/xn3trDYzj+vgl/gA9/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TdUorgAAADbAAAA&#10;DwAAAAAAAAABACAAAAAiAAAAZHJzL2Rvd25yZXYueG1sUEsBAhQAFAAAAAgAh07iQDMvBZ47AAAA&#10;OQAAABAAAAAAAAAAAQAgAAAABwEAAGRycy9zaGFwZXhtbC54bWxQSwUGAAAAAAYABgBbAQAAsQMA&#10;AAAA&#10;">
                  <v:fill on="t" focussize="0,0"/>
                  <v:stroke weight="2pt" color="#FF0000" joinstyle="round"/>
                  <v:imagedata o:title=""/>
                  <o:lock v:ext="edit" aspectratio="f"/>
                </v:shape>
              </v:group>
            </w:pict>
          </mc:Fallback>
        </mc:AlternateContent>
      </w:r>
      <w:r>
        <w:rPr>
          <w:rFonts w:hint="default" w:ascii="Times New Roman" w:hAnsi="Times New Roman" w:cs="Times New Roman"/>
          <w:b/>
          <w:bCs/>
          <w:color w:val="auto"/>
          <w:szCs w:val="24"/>
        </w:rPr>
        <w:t>图2.3    厂区总平面布置及污染源位置图</w:t>
      </w:r>
    </w:p>
    <w:p>
      <w:pPr>
        <w:rPr>
          <w:rFonts w:hint="default" w:ascii="Times New Roman" w:hAnsi="Times New Roman" w:cs="Times New Roman"/>
          <w:b/>
          <w:bCs/>
          <w:color w:val="auto"/>
          <w:szCs w:val="24"/>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tbl>
      <w:tblPr>
        <w:tblStyle w:val="17"/>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170" w:hRule="atLeast"/>
          <w:jc w:val="center"/>
        </w:trPr>
        <w:tc>
          <w:tcPr>
            <w:tcW w:w="8522" w:type="dxa"/>
            <w:vAlign w:val="top"/>
          </w:tcPr>
          <w:p>
            <w:pPr>
              <w:rPr>
                <w:rFonts w:hint="default" w:ascii="Times New Roman" w:hAnsi="Times New Roman" w:cs="Times New Roman"/>
                <w:b/>
                <w:bCs/>
                <w:color w:val="auto"/>
                <w:szCs w:val="24"/>
              </w:rPr>
            </w:pPr>
            <w:r>
              <w:rPr>
                <w:rFonts w:hint="default" w:ascii="Times New Roman" w:hAnsi="Times New Roman" w:cs="Times New Roman"/>
                <w:b/>
                <w:bCs/>
                <w:color w:val="auto"/>
                <w:szCs w:val="24"/>
              </w:rPr>
              <w:t>原辅材料消耗及水平衡：</w:t>
            </w:r>
          </w:p>
          <w:p>
            <w:pPr>
              <w:numPr>
                <w:ilvl w:val="0"/>
                <w:numId w:val="3"/>
              </w:numPr>
              <w:rPr>
                <w:rFonts w:hint="default" w:ascii="Times New Roman" w:hAnsi="Times New Roman" w:cs="Times New Roman"/>
                <w:b/>
                <w:bCs/>
                <w:color w:val="auto"/>
                <w:szCs w:val="24"/>
              </w:rPr>
            </w:pPr>
            <w:r>
              <w:rPr>
                <w:rFonts w:hint="default" w:ascii="Times New Roman" w:hAnsi="Times New Roman" w:cs="Times New Roman"/>
                <w:b/>
                <w:bCs/>
                <w:color w:val="auto"/>
                <w:szCs w:val="24"/>
              </w:rPr>
              <w:t>项目原辅材料及能源消耗情况</w:t>
            </w:r>
          </w:p>
          <w:p>
            <w:pPr>
              <w:jc w:val="center"/>
              <w:rPr>
                <w:rFonts w:hint="default" w:ascii="Times New Roman" w:hAnsi="Times New Roman" w:cs="Times New Roman"/>
                <w:b/>
                <w:bCs/>
                <w:color w:val="auto"/>
                <w:szCs w:val="24"/>
              </w:rPr>
            </w:pPr>
            <w:r>
              <w:rPr>
                <w:rFonts w:hint="default" w:ascii="Times New Roman" w:hAnsi="Times New Roman" w:cs="Times New Roman"/>
                <w:b/>
                <w:bCs/>
                <w:color w:val="auto"/>
                <w:szCs w:val="24"/>
              </w:rPr>
              <w:t>表2-3  原辅材料及能源消耗情况</w:t>
            </w:r>
          </w:p>
          <w:tbl>
            <w:tblPr>
              <w:tblStyle w:val="17"/>
              <w:tblW w:w="830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142"/>
              <w:gridCol w:w="1535"/>
              <w:gridCol w:w="2178"/>
              <w:gridCol w:w="27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25" w:type="dxa"/>
                  <w:vAlign w:val="center"/>
                </w:tcPr>
                <w:p>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142" w:type="dxa"/>
                  <w:vAlign w:val="center"/>
                </w:tcPr>
                <w:p>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1535" w:type="dxa"/>
                  <w:vAlign w:val="center"/>
                </w:tcPr>
                <w:p>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2178" w:type="dxa"/>
                  <w:vAlign w:val="center"/>
                </w:tcPr>
                <w:p>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年消耗量</w:t>
                  </w:r>
                </w:p>
              </w:tc>
              <w:tc>
                <w:tcPr>
                  <w:tcW w:w="2726" w:type="dxa"/>
                </w:tcPr>
                <w:p>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25"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142" w:type="dxa"/>
                  <w:vAlign w:val="top"/>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水泥</w:t>
                  </w:r>
                </w:p>
              </w:tc>
              <w:tc>
                <w:tcPr>
                  <w:tcW w:w="1535" w:type="dxa"/>
                  <w:vAlign w:val="center"/>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t/a</w:t>
                  </w:r>
                </w:p>
              </w:tc>
              <w:tc>
                <w:tcPr>
                  <w:tcW w:w="2178" w:type="dxa"/>
                  <w:vAlign w:val="top"/>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90000</w:t>
                  </w:r>
                </w:p>
              </w:tc>
              <w:tc>
                <w:tcPr>
                  <w:tcW w:w="2726" w:type="dxa"/>
                  <w:vAlign w:val="top"/>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筒仓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25"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142" w:type="dxa"/>
                  <w:vAlign w:val="top"/>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石子</w:t>
                  </w:r>
                </w:p>
              </w:tc>
              <w:tc>
                <w:tcPr>
                  <w:tcW w:w="1535" w:type="dxa"/>
                  <w:vAlign w:val="center"/>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t/a</w:t>
                  </w:r>
                </w:p>
              </w:tc>
              <w:tc>
                <w:tcPr>
                  <w:tcW w:w="2178" w:type="dxa"/>
                  <w:vAlign w:val="top"/>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300000</w:t>
                  </w:r>
                </w:p>
              </w:tc>
              <w:tc>
                <w:tcPr>
                  <w:tcW w:w="2726" w:type="dxa"/>
                  <w:vAlign w:val="top"/>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大棚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25"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142" w:type="dxa"/>
                  <w:vAlign w:val="top"/>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河砂</w:t>
                  </w:r>
                </w:p>
              </w:tc>
              <w:tc>
                <w:tcPr>
                  <w:tcW w:w="1535" w:type="dxa"/>
                  <w:vAlign w:val="center"/>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t/a</w:t>
                  </w:r>
                </w:p>
              </w:tc>
              <w:tc>
                <w:tcPr>
                  <w:tcW w:w="2178" w:type="dxa"/>
                  <w:vAlign w:val="top"/>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112500</w:t>
                  </w:r>
                </w:p>
              </w:tc>
              <w:tc>
                <w:tcPr>
                  <w:tcW w:w="2726" w:type="dxa"/>
                  <w:vAlign w:val="top"/>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大棚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25"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142" w:type="dxa"/>
                  <w:vAlign w:val="top"/>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粉煤灰</w:t>
                  </w:r>
                </w:p>
              </w:tc>
              <w:tc>
                <w:tcPr>
                  <w:tcW w:w="1535" w:type="dxa"/>
                  <w:vAlign w:val="center"/>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t/a</w:t>
                  </w:r>
                </w:p>
              </w:tc>
              <w:tc>
                <w:tcPr>
                  <w:tcW w:w="2178" w:type="dxa"/>
                  <w:vAlign w:val="top"/>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24000</w:t>
                  </w:r>
                </w:p>
              </w:tc>
              <w:tc>
                <w:tcPr>
                  <w:tcW w:w="2726" w:type="dxa"/>
                  <w:vAlign w:val="top"/>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筒仓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25"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1142" w:type="dxa"/>
                  <w:vAlign w:val="top"/>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矿粉</w:t>
                  </w:r>
                </w:p>
              </w:tc>
              <w:tc>
                <w:tcPr>
                  <w:tcW w:w="1535" w:type="dxa"/>
                  <w:vAlign w:val="center"/>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t/a</w:t>
                  </w:r>
                </w:p>
              </w:tc>
              <w:tc>
                <w:tcPr>
                  <w:tcW w:w="2178" w:type="dxa"/>
                  <w:vAlign w:val="top"/>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15000</w:t>
                  </w:r>
                </w:p>
              </w:tc>
              <w:tc>
                <w:tcPr>
                  <w:tcW w:w="2726" w:type="dxa"/>
                  <w:vAlign w:val="top"/>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筒仓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25"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1142" w:type="dxa"/>
                  <w:vAlign w:val="top"/>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外加剂</w:t>
                  </w:r>
                </w:p>
              </w:tc>
              <w:tc>
                <w:tcPr>
                  <w:tcW w:w="1535" w:type="dxa"/>
                  <w:vAlign w:val="center"/>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t/a</w:t>
                  </w:r>
                </w:p>
              </w:tc>
              <w:tc>
                <w:tcPr>
                  <w:tcW w:w="2178" w:type="dxa"/>
                  <w:vAlign w:val="top"/>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2000</w:t>
                  </w:r>
                </w:p>
              </w:tc>
              <w:tc>
                <w:tcPr>
                  <w:tcW w:w="2726" w:type="dxa"/>
                  <w:vAlign w:val="top"/>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袋装，库房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25"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1142"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w:t>
                  </w:r>
                </w:p>
              </w:tc>
              <w:tc>
                <w:tcPr>
                  <w:tcW w:w="1535"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万</w:t>
                  </w:r>
                  <w:r>
                    <w:rPr>
                      <w:rFonts w:hint="default" w:ascii="Times New Roman" w:hAnsi="Times New Roman" w:cs="Times New Roman"/>
                      <w:color w:val="auto"/>
                      <w:sz w:val="21"/>
                      <w:szCs w:val="21"/>
                    </w:rPr>
                    <w:t>t/a</w:t>
                  </w:r>
                </w:p>
              </w:tc>
              <w:tc>
                <w:tcPr>
                  <w:tcW w:w="2178" w:type="dxa"/>
                  <w:vAlign w:val="center"/>
                </w:tcPr>
                <w:p>
                  <w:pPr>
                    <w:spacing w:line="240" w:lineRule="auto"/>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5.6</w:t>
                  </w:r>
                </w:p>
              </w:tc>
              <w:tc>
                <w:tcPr>
                  <w:tcW w:w="2726" w:type="dxa"/>
                  <w:vAlign w:val="top"/>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25"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1142"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w:t>
                  </w:r>
                </w:p>
              </w:tc>
              <w:tc>
                <w:tcPr>
                  <w:tcW w:w="1535"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万kWh/a</w:t>
                  </w:r>
                </w:p>
              </w:tc>
              <w:tc>
                <w:tcPr>
                  <w:tcW w:w="2178"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40</w:t>
                  </w:r>
                </w:p>
              </w:tc>
              <w:tc>
                <w:tcPr>
                  <w:tcW w:w="2726" w:type="dxa"/>
                  <w:vAlign w:val="top"/>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numPr>
                <w:ilvl w:val="0"/>
                <w:numId w:val="3"/>
              </w:numPr>
              <w:rPr>
                <w:rFonts w:hint="default" w:ascii="Times New Roman" w:hAnsi="Times New Roman" w:cs="Times New Roman"/>
                <w:b/>
                <w:bCs/>
                <w:color w:val="auto"/>
                <w:szCs w:val="24"/>
              </w:rPr>
            </w:pPr>
            <w:r>
              <w:rPr>
                <w:rFonts w:hint="default" w:ascii="Times New Roman" w:hAnsi="Times New Roman" w:cs="Times New Roman"/>
                <w:b/>
                <w:bCs/>
                <w:color w:val="auto"/>
                <w:szCs w:val="24"/>
              </w:rPr>
              <w:t>水平衡</w:t>
            </w:r>
          </w:p>
          <w:p>
            <w:pPr>
              <w:autoSpaceDE w:val="0"/>
              <w:autoSpaceDN w:val="0"/>
              <w:ind w:firstLine="482"/>
              <w:rPr>
                <w:rFonts w:hint="default" w:ascii="Times New Roman" w:hAnsi="Times New Roman" w:cs="Times New Roman"/>
                <w:color w:val="auto"/>
              </w:rPr>
            </w:pPr>
            <w:r>
              <w:rPr>
                <w:rFonts w:hint="default" w:ascii="Times New Roman" w:hAnsi="Times New Roman" w:cs="Times New Roman"/>
                <w:color w:val="auto"/>
              </w:rPr>
              <w:t>根据现场调查，本项目用水主要为生活用水、生产用水。其中生活用水</w:t>
            </w:r>
            <w:r>
              <w:rPr>
                <w:rFonts w:hint="default" w:ascii="Times New Roman" w:hAnsi="Times New Roman" w:cs="Times New Roman"/>
                <w:color w:val="auto"/>
                <w:lang w:val="en-US" w:eastAsia="zh-CN"/>
              </w:rPr>
              <w:t>1020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/a，生产用水</w:t>
            </w:r>
            <w:r>
              <w:rPr>
                <w:rFonts w:hint="default" w:ascii="Times New Roman" w:hAnsi="Times New Roman" w:cs="Times New Roman"/>
                <w:color w:val="auto"/>
                <w:lang w:val="en-US" w:eastAsia="zh-CN"/>
              </w:rPr>
              <w:t>55474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/a，项目具体用排水情况为：</w:t>
            </w:r>
          </w:p>
          <w:p>
            <w:pPr>
              <w:tabs>
                <w:tab w:val="left" w:pos="3198"/>
              </w:tabs>
              <w:adjustRightInd/>
              <w:snapToGrid/>
              <w:spacing w:line="240" w:lineRule="auto"/>
              <w:ind w:right="72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Cs w:val="24"/>
              </w:rPr>
              <w:t>表2-4  项目用、排水量表</w:t>
            </w:r>
            <w:r>
              <w:rPr>
                <w:rFonts w:hint="default" w:ascii="Times New Roman" w:hAnsi="Times New Roman" w:cs="Times New Roman"/>
                <w:color w:val="auto"/>
                <w:sz w:val="21"/>
                <w:szCs w:val="21"/>
              </w:rPr>
              <w:t xml:space="preserve">  </w:t>
            </w:r>
            <w:r>
              <w:rPr>
                <w:rFonts w:hint="default" w:ascii="Times New Roman" w:hAnsi="Times New Roman" w:cs="Times New Roman"/>
                <w:b/>
                <w:bCs/>
                <w:color w:val="auto"/>
                <w:szCs w:val="24"/>
              </w:rPr>
              <w:t>单位：m</w:t>
            </w:r>
            <w:r>
              <w:rPr>
                <w:rFonts w:hint="default" w:ascii="Times New Roman" w:hAnsi="Times New Roman" w:cs="Times New Roman"/>
                <w:b/>
                <w:bCs/>
                <w:color w:val="auto"/>
                <w:szCs w:val="24"/>
                <w:vertAlign w:val="superscript"/>
              </w:rPr>
              <w:t>3</w:t>
            </w:r>
            <w:r>
              <w:rPr>
                <w:rFonts w:hint="default" w:ascii="Times New Roman" w:hAnsi="Times New Roman" w:cs="Times New Roman"/>
                <w:b/>
                <w:bCs/>
                <w:color w:val="auto"/>
                <w:szCs w:val="24"/>
              </w:rPr>
              <w:t>/a</w:t>
            </w:r>
          </w:p>
          <w:tbl>
            <w:tblPr>
              <w:tblStyle w:val="17"/>
              <w:tblW w:w="830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1557"/>
              <w:gridCol w:w="1299"/>
              <w:gridCol w:w="1040"/>
              <w:gridCol w:w="1040"/>
              <w:gridCol w:w="20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1298" w:type="dxa"/>
                  <w:vMerge w:val="restart"/>
                  <w:vAlign w:val="center"/>
                </w:tcPr>
                <w:p>
                  <w:pPr>
                    <w:spacing w:line="240" w:lineRule="auto"/>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用水名称</w:t>
                  </w:r>
                </w:p>
              </w:tc>
              <w:tc>
                <w:tcPr>
                  <w:tcW w:w="1557" w:type="dxa"/>
                  <w:vMerge w:val="restart"/>
                  <w:vAlign w:val="center"/>
                </w:tcPr>
                <w:p>
                  <w:pPr>
                    <w:spacing w:line="240" w:lineRule="auto"/>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新鲜用水量</w:t>
                  </w:r>
                </w:p>
              </w:tc>
              <w:tc>
                <w:tcPr>
                  <w:tcW w:w="1299" w:type="dxa"/>
                  <w:vMerge w:val="restart"/>
                  <w:vAlign w:val="center"/>
                </w:tcPr>
                <w:p>
                  <w:pPr>
                    <w:spacing w:line="240" w:lineRule="auto"/>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回用水量</w:t>
                  </w:r>
                </w:p>
              </w:tc>
              <w:tc>
                <w:tcPr>
                  <w:tcW w:w="1040" w:type="dxa"/>
                  <w:vMerge w:val="restart"/>
                  <w:vAlign w:val="center"/>
                </w:tcPr>
                <w:p>
                  <w:pPr>
                    <w:spacing w:line="240" w:lineRule="auto"/>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损耗量</w:t>
                  </w:r>
                </w:p>
              </w:tc>
              <w:tc>
                <w:tcPr>
                  <w:tcW w:w="1040" w:type="dxa"/>
                  <w:vMerge w:val="restart"/>
                  <w:vAlign w:val="center"/>
                </w:tcPr>
                <w:p>
                  <w:pPr>
                    <w:spacing w:line="240" w:lineRule="auto"/>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排放量</w:t>
                  </w:r>
                </w:p>
              </w:tc>
              <w:tc>
                <w:tcPr>
                  <w:tcW w:w="2072" w:type="dxa"/>
                  <w:vMerge w:val="restart"/>
                  <w:vAlign w:val="center"/>
                </w:tcPr>
                <w:p>
                  <w:pPr>
                    <w:spacing w:line="240" w:lineRule="auto"/>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1298" w:type="dxa"/>
                  <w:vMerge w:val="continue"/>
                  <w:vAlign w:val="center"/>
                </w:tcPr>
                <w:p>
                  <w:pPr>
                    <w:spacing w:line="240" w:lineRule="auto"/>
                    <w:jc w:val="center"/>
                    <w:textAlignment w:val="baseline"/>
                    <w:rPr>
                      <w:rFonts w:hint="default" w:ascii="Times New Roman" w:hAnsi="Times New Roman" w:cs="Times New Roman"/>
                      <w:color w:val="auto"/>
                      <w:sz w:val="21"/>
                      <w:szCs w:val="21"/>
                    </w:rPr>
                  </w:pPr>
                </w:p>
              </w:tc>
              <w:tc>
                <w:tcPr>
                  <w:tcW w:w="1557" w:type="dxa"/>
                  <w:vMerge w:val="continue"/>
                  <w:vAlign w:val="center"/>
                </w:tcPr>
                <w:p>
                  <w:pPr>
                    <w:spacing w:line="240" w:lineRule="auto"/>
                    <w:jc w:val="center"/>
                    <w:textAlignment w:val="baseline"/>
                    <w:rPr>
                      <w:rFonts w:hint="default" w:ascii="Times New Roman" w:hAnsi="Times New Roman" w:cs="Times New Roman"/>
                      <w:color w:val="auto"/>
                      <w:sz w:val="21"/>
                      <w:szCs w:val="21"/>
                    </w:rPr>
                  </w:pPr>
                </w:p>
              </w:tc>
              <w:tc>
                <w:tcPr>
                  <w:tcW w:w="1299" w:type="dxa"/>
                  <w:vMerge w:val="continue"/>
                  <w:vAlign w:val="center"/>
                </w:tcPr>
                <w:p>
                  <w:pPr>
                    <w:spacing w:line="240" w:lineRule="auto"/>
                    <w:jc w:val="center"/>
                    <w:textAlignment w:val="baseline"/>
                    <w:rPr>
                      <w:rFonts w:hint="default" w:ascii="Times New Roman" w:hAnsi="Times New Roman" w:cs="Times New Roman"/>
                      <w:color w:val="auto"/>
                      <w:sz w:val="21"/>
                      <w:szCs w:val="21"/>
                    </w:rPr>
                  </w:pPr>
                </w:p>
              </w:tc>
              <w:tc>
                <w:tcPr>
                  <w:tcW w:w="1040" w:type="dxa"/>
                  <w:vMerge w:val="continue"/>
                  <w:vAlign w:val="center"/>
                </w:tcPr>
                <w:p>
                  <w:pPr>
                    <w:spacing w:line="240" w:lineRule="auto"/>
                    <w:jc w:val="center"/>
                    <w:textAlignment w:val="baseline"/>
                    <w:rPr>
                      <w:rFonts w:hint="default" w:ascii="Times New Roman" w:hAnsi="Times New Roman" w:cs="Times New Roman"/>
                      <w:color w:val="auto"/>
                      <w:sz w:val="21"/>
                      <w:szCs w:val="21"/>
                    </w:rPr>
                  </w:pPr>
                </w:p>
              </w:tc>
              <w:tc>
                <w:tcPr>
                  <w:tcW w:w="1040" w:type="dxa"/>
                  <w:vMerge w:val="continue"/>
                  <w:vAlign w:val="center"/>
                </w:tcPr>
                <w:p>
                  <w:pPr>
                    <w:spacing w:line="240" w:lineRule="auto"/>
                    <w:jc w:val="center"/>
                    <w:textAlignment w:val="baseline"/>
                    <w:rPr>
                      <w:rFonts w:hint="default" w:ascii="Times New Roman" w:hAnsi="Times New Roman" w:cs="Times New Roman"/>
                      <w:color w:val="auto"/>
                      <w:sz w:val="21"/>
                      <w:szCs w:val="21"/>
                    </w:rPr>
                  </w:pPr>
                </w:p>
              </w:tc>
              <w:tc>
                <w:tcPr>
                  <w:tcW w:w="2072" w:type="dxa"/>
                  <w:vMerge w:val="continue"/>
                  <w:vAlign w:val="center"/>
                </w:tcPr>
                <w:p>
                  <w:pPr>
                    <w:spacing w:line="240" w:lineRule="auto"/>
                    <w:jc w:val="center"/>
                    <w:textAlignment w:val="baseline"/>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1298" w:type="dxa"/>
                  <w:vAlign w:val="center"/>
                </w:tcPr>
                <w:p>
                  <w:pPr>
                    <w:spacing w:line="240" w:lineRule="auto"/>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混凝土搅拌</w:t>
                  </w:r>
                  <w:r>
                    <w:rPr>
                      <w:rFonts w:hint="default" w:ascii="Times New Roman" w:hAnsi="Times New Roman" w:cs="Times New Roman"/>
                      <w:color w:val="auto"/>
                      <w:sz w:val="21"/>
                      <w:szCs w:val="21"/>
                    </w:rPr>
                    <w:t>用水</w:t>
                  </w:r>
                </w:p>
              </w:tc>
              <w:tc>
                <w:tcPr>
                  <w:tcW w:w="1557" w:type="dxa"/>
                  <w:vAlign w:val="center"/>
                </w:tcPr>
                <w:p>
                  <w:pPr>
                    <w:spacing w:line="240" w:lineRule="auto"/>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31824</w:t>
                  </w:r>
                </w:p>
              </w:tc>
              <w:tc>
                <w:tcPr>
                  <w:tcW w:w="1299" w:type="dxa"/>
                  <w:vAlign w:val="center"/>
                </w:tcPr>
                <w:p>
                  <w:pPr>
                    <w:spacing w:line="240" w:lineRule="auto"/>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040" w:type="dxa"/>
                  <w:vAlign w:val="center"/>
                </w:tcPr>
                <w:p>
                  <w:pPr>
                    <w:spacing w:line="240" w:lineRule="auto"/>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040" w:type="dxa"/>
                  <w:vAlign w:val="center"/>
                </w:tcPr>
                <w:p>
                  <w:pPr>
                    <w:spacing w:line="240" w:lineRule="auto"/>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2072" w:type="dxa"/>
                  <w:vAlign w:val="center"/>
                </w:tcPr>
                <w:p>
                  <w:pPr>
                    <w:spacing w:line="240" w:lineRule="auto"/>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不排放，作为成品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1298" w:type="dxa"/>
                  <w:vAlign w:val="center"/>
                </w:tcPr>
                <w:p>
                  <w:pPr>
                    <w:spacing w:line="240" w:lineRule="auto"/>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搅拌机清洗用水</w:t>
                  </w:r>
                </w:p>
              </w:tc>
              <w:tc>
                <w:tcPr>
                  <w:tcW w:w="1557" w:type="dxa"/>
                  <w:vAlign w:val="center"/>
                </w:tcPr>
                <w:p>
                  <w:pPr>
                    <w:spacing w:line="240" w:lineRule="auto"/>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2000</w:t>
                  </w:r>
                </w:p>
              </w:tc>
              <w:tc>
                <w:tcPr>
                  <w:tcW w:w="1299" w:type="dxa"/>
                  <w:vAlign w:val="center"/>
                </w:tcPr>
                <w:p>
                  <w:pPr>
                    <w:spacing w:line="240" w:lineRule="auto"/>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1900</w:t>
                  </w:r>
                </w:p>
              </w:tc>
              <w:tc>
                <w:tcPr>
                  <w:tcW w:w="1040" w:type="dxa"/>
                  <w:vAlign w:val="center"/>
                </w:tcPr>
                <w:p>
                  <w:pPr>
                    <w:spacing w:line="240" w:lineRule="auto"/>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100</w:t>
                  </w:r>
                </w:p>
              </w:tc>
              <w:tc>
                <w:tcPr>
                  <w:tcW w:w="1040" w:type="dxa"/>
                  <w:vAlign w:val="center"/>
                </w:tcPr>
                <w:p>
                  <w:pPr>
                    <w:spacing w:line="240" w:lineRule="auto"/>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2072" w:type="dxa"/>
                  <w:vAlign w:val="center"/>
                </w:tcPr>
                <w:p>
                  <w:pPr>
                    <w:spacing w:line="240" w:lineRule="auto"/>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用于</w:t>
                  </w:r>
                  <w:r>
                    <w:rPr>
                      <w:rFonts w:hint="default" w:ascii="Times New Roman" w:hAnsi="Times New Roman" w:cs="Times New Roman"/>
                      <w:color w:val="auto"/>
                      <w:sz w:val="21"/>
                      <w:szCs w:val="21"/>
                      <w:lang w:eastAsia="zh-CN"/>
                    </w:rPr>
                    <w:t>清洗运输车搅拌罐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1298" w:type="dxa"/>
                  <w:vAlign w:val="center"/>
                </w:tcPr>
                <w:p>
                  <w:pPr>
                    <w:spacing w:line="240" w:lineRule="auto"/>
                    <w:jc w:val="center"/>
                    <w:textAlignment w:val="baseline"/>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运输车搅拌罐清洗水</w:t>
                  </w:r>
                </w:p>
              </w:tc>
              <w:tc>
                <w:tcPr>
                  <w:tcW w:w="1557"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16850</w:t>
                  </w:r>
                </w:p>
              </w:tc>
              <w:tc>
                <w:tcPr>
                  <w:tcW w:w="1299"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17776</w:t>
                  </w:r>
                </w:p>
              </w:tc>
              <w:tc>
                <w:tcPr>
                  <w:tcW w:w="1040"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bookmarkStart w:id="0" w:name="OLE_LINK1"/>
                  <w:r>
                    <w:rPr>
                      <w:rFonts w:hint="default" w:ascii="Times New Roman" w:hAnsi="Times New Roman" w:cs="Times New Roman"/>
                      <w:color w:val="auto"/>
                      <w:sz w:val="21"/>
                      <w:szCs w:val="21"/>
                      <w:lang w:val="en-US" w:eastAsia="zh-CN"/>
                    </w:rPr>
                    <w:t>97</w:t>
                  </w:r>
                  <w:bookmarkEnd w:id="0"/>
                  <w:r>
                    <w:rPr>
                      <w:rFonts w:hint="default" w:ascii="Times New Roman" w:hAnsi="Times New Roman" w:cs="Times New Roman"/>
                      <w:color w:val="auto"/>
                      <w:sz w:val="21"/>
                      <w:szCs w:val="21"/>
                      <w:lang w:val="en-US" w:eastAsia="zh-CN"/>
                    </w:rPr>
                    <w:t>4</w:t>
                  </w:r>
                </w:p>
              </w:tc>
              <w:tc>
                <w:tcPr>
                  <w:tcW w:w="1040"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2072" w:type="dxa"/>
                  <w:vAlign w:val="center"/>
                </w:tcPr>
                <w:p>
                  <w:pPr>
                    <w:spacing w:line="240" w:lineRule="auto"/>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强制搅拌，回用于生产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1298"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运输车清洗用水</w:t>
                  </w:r>
                </w:p>
              </w:tc>
              <w:tc>
                <w:tcPr>
                  <w:tcW w:w="1557"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800</w:t>
                  </w:r>
                </w:p>
              </w:tc>
              <w:tc>
                <w:tcPr>
                  <w:tcW w:w="1299"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680</w:t>
                  </w:r>
                </w:p>
              </w:tc>
              <w:tc>
                <w:tcPr>
                  <w:tcW w:w="1040"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120</w:t>
                  </w:r>
                </w:p>
              </w:tc>
              <w:tc>
                <w:tcPr>
                  <w:tcW w:w="1040"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2072"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回用于洗车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98"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绿化用水</w:t>
                  </w:r>
                </w:p>
              </w:tc>
              <w:tc>
                <w:tcPr>
                  <w:tcW w:w="1557"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2000</w:t>
                  </w:r>
                </w:p>
              </w:tc>
              <w:tc>
                <w:tcPr>
                  <w:tcW w:w="1299"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040"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040"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2072" w:type="dxa"/>
                  <w:vMerge w:val="restart"/>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自然蒸发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1298"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道路洒水</w:t>
                  </w:r>
                </w:p>
              </w:tc>
              <w:tc>
                <w:tcPr>
                  <w:tcW w:w="1557"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400</w:t>
                  </w:r>
                </w:p>
              </w:tc>
              <w:tc>
                <w:tcPr>
                  <w:tcW w:w="1299"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040"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040"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2072" w:type="dxa"/>
                  <w:vMerge w:val="continue"/>
                  <w:vAlign w:val="center"/>
                </w:tcPr>
                <w:p>
                  <w:pPr>
                    <w:spacing w:line="240" w:lineRule="auto"/>
                    <w:jc w:val="center"/>
                    <w:textAlignment w:val="baseline"/>
                    <w:rPr>
                      <w:rFonts w:hint="default" w:ascii="Times New Roman" w:hAnsi="Times New Roman"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1298"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喷淋用水</w:t>
                  </w:r>
                </w:p>
              </w:tc>
              <w:tc>
                <w:tcPr>
                  <w:tcW w:w="1557"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1600</w:t>
                  </w:r>
                </w:p>
              </w:tc>
              <w:tc>
                <w:tcPr>
                  <w:tcW w:w="1299"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040"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040"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2072" w:type="dxa"/>
                  <w:vMerge w:val="continue"/>
                  <w:vAlign w:val="center"/>
                </w:tcPr>
                <w:p>
                  <w:pPr>
                    <w:spacing w:line="240" w:lineRule="auto"/>
                    <w:jc w:val="center"/>
                    <w:textAlignment w:val="baseline"/>
                    <w:rPr>
                      <w:rFonts w:hint="default" w:ascii="Times New Roman" w:hAnsi="Times New Roman"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1298"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餐饮用水</w:t>
                  </w:r>
                </w:p>
              </w:tc>
              <w:tc>
                <w:tcPr>
                  <w:tcW w:w="1557"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120</w:t>
                  </w:r>
                </w:p>
              </w:tc>
              <w:tc>
                <w:tcPr>
                  <w:tcW w:w="1299"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96</w:t>
                  </w:r>
                </w:p>
              </w:tc>
              <w:tc>
                <w:tcPr>
                  <w:tcW w:w="1040"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24</w:t>
                  </w:r>
                </w:p>
              </w:tc>
              <w:tc>
                <w:tcPr>
                  <w:tcW w:w="1040"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2072" w:type="dxa"/>
                  <w:vMerge w:val="restart"/>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用于厂区洒水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1298"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其他生活用水</w:t>
                  </w:r>
                </w:p>
              </w:tc>
              <w:tc>
                <w:tcPr>
                  <w:tcW w:w="1557"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900</w:t>
                  </w:r>
                </w:p>
              </w:tc>
              <w:tc>
                <w:tcPr>
                  <w:tcW w:w="1299"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720</w:t>
                  </w:r>
                </w:p>
              </w:tc>
              <w:tc>
                <w:tcPr>
                  <w:tcW w:w="1040"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180</w:t>
                  </w:r>
                </w:p>
              </w:tc>
              <w:tc>
                <w:tcPr>
                  <w:tcW w:w="1040"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2072" w:type="dxa"/>
                  <w:vMerge w:val="continue"/>
                  <w:vAlign w:val="center"/>
                </w:tcPr>
                <w:p>
                  <w:pPr>
                    <w:spacing w:line="240" w:lineRule="auto"/>
                    <w:jc w:val="center"/>
                    <w:textAlignment w:val="baseline"/>
                    <w:rPr>
                      <w:rFonts w:hint="default" w:ascii="Times New Roman" w:hAnsi="Times New Roman"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1298"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总计</w:t>
                  </w:r>
                </w:p>
              </w:tc>
              <w:tc>
                <w:tcPr>
                  <w:tcW w:w="1557"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56494</w:t>
                  </w:r>
                </w:p>
              </w:tc>
              <w:tc>
                <w:tcPr>
                  <w:tcW w:w="1299"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21172</w:t>
                  </w:r>
                </w:p>
              </w:tc>
              <w:tc>
                <w:tcPr>
                  <w:tcW w:w="1040"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1398</w:t>
                  </w:r>
                </w:p>
              </w:tc>
              <w:tc>
                <w:tcPr>
                  <w:tcW w:w="1040"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2072" w:type="dxa"/>
                  <w:vAlign w:val="center"/>
                </w:tcPr>
                <w:p>
                  <w:pPr>
                    <w:spacing w:line="240" w:lineRule="auto"/>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bl>
          <w:p>
            <w:pPr>
              <w:jc w:val="both"/>
              <w:rPr>
                <w:rFonts w:hint="default" w:ascii="Times New Roman" w:hAnsi="Times New Roman" w:cs="Times New Roman"/>
                <w:b/>
                <w:bCs/>
                <w:color w:val="auto"/>
              </w:rPr>
            </w:pPr>
          </w:p>
          <w:p>
            <w:pPr>
              <w:jc w:val="both"/>
              <w:rPr>
                <w:rFonts w:hint="default" w:ascii="Times New Roman" w:hAnsi="Times New Roman" w:cs="Times New Roman"/>
                <w:b/>
                <w:bCs/>
                <w:color w:val="auto"/>
              </w:rPr>
            </w:pPr>
            <w:r>
              <w:rPr>
                <w:rFonts w:hint="default" w:ascii="Times New Roman" w:hAnsi="Times New Roman" w:cs="Times New Roman"/>
                <w:b/>
                <w:bCs/>
                <w:color w:val="auto"/>
              </w:rPr>
              <w:object>
                <v:shape id="_x0000_i1025" o:spt="75" type="#_x0000_t75" style="height:431.25pt;width:399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p>
          <w:p>
            <w:pPr>
              <w:jc w:val="center"/>
              <w:rPr>
                <w:rFonts w:hint="default" w:ascii="Times New Roman" w:hAnsi="Times New Roman" w:cs="Times New Roman"/>
                <w:color w:val="auto"/>
              </w:rPr>
            </w:pPr>
            <w:r>
              <w:rPr>
                <w:rFonts w:hint="default" w:ascii="Times New Roman" w:hAnsi="Times New Roman" w:cs="Times New Roman"/>
                <w:b/>
                <w:bCs/>
                <w:color w:val="auto"/>
              </w:rPr>
              <w:t>图2.4  项目水平衡图 单位：m³/a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610" w:hRule="atLeast"/>
          <w:jc w:val="center"/>
        </w:trPr>
        <w:tc>
          <w:tcPr>
            <w:tcW w:w="8522" w:type="dxa"/>
            <w:vAlign w:val="top"/>
          </w:tcPr>
          <w:p>
            <w:pPr>
              <w:spacing w:before="48" w:beforeLines="20"/>
              <w:rPr>
                <w:rFonts w:hint="default" w:ascii="Times New Roman" w:hAnsi="Times New Roman" w:cs="Times New Roman"/>
                <w:b/>
                <w:bCs/>
                <w:color w:val="auto"/>
              </w:rPr>
            </w:pPr>
            <w:r>
              <w:rPr>
                <w:rFonts w:hint="default" w:ascii="Times New Roman" w:hAnsi="Times New Roman" w:cs="Times New Roman"/>
                <w:b/>
                <w:bCs/>
                <w:color w:val="auto"/>
              </w:rPr>
              <w:t>主要工艺流程及产物环节（附处理工艺流程图，标出产污节点）</w:t>
            </w:r>
          </w:p>
          <w:p>
            <w:pPr>
              <w:autoSpaceDE w:val="0"/>
              <w:autoSpaceDN w:val="0"/>
              <w:ind w:firstLine="480" w:firstLineChars="200"/>
              <w:jc w:val="both"/>
              <w:rPr>
                <w:rFonts w:hint="default" w:ascii="Times New Roman" w:hAnsi="Times New Roman" w:cs="Times New Roman"/>
                <w:color w:val="auto"/>
                <w:lang w:eastAsia="zh-CN"/>
              </w:rPr>
            </w:pPr>
            <w:r>
              <w:rPr>
                <w:rFonts w:hint="default" w:ascii="Times New Roman" w:hAnsi="Times New Roman" w:cs="Times New Roman"/>
                <w:color w:val="auto"/>
                <w:lang w:eastAsia="zh-CN"/>
              </w:rPr>
              <w:t>预拌混凝土生产线具体工艺如下：</w:t>
            </w:r>
          </w:p>
          <w:p>
            <w:pPr>
              <w:autoSpaceDE w:val="0"/>
              <w:autoSpaceDN w:val="0"/>
              <w:ind w:firstLine="480" w:firstLineChars="200"/>
              <w:jc w:val="both"/>
              <w:rPr>
                <w:rFonts w:hint="default" w:ascii="Times New Roman" w:hAnsi="Times New Roman" w:cs="Times New Roman"/>
                <w:color w:val="auto"/>
                <w:lang w:eastAsia="zh-CN"/>
              </w:rPr>
            </w:pPr>
            <w:r>
              <w:rPr>
                <w:rFonts w:hint="default" w:ascii="Times New Roman" w:hAnsi="Times New Roman" w:cs="Times New Roman"/>
                <w:color w:val="auto"/>
                <w:lang w:eastAsia="zh-CN"/>
              </w:rPr>
              <w:t>生产时首先将各种原料进行计量配送，然后进行重量配料，之后进行强制配料，强制配料过程采用电脑控制，从而保证混凝土的品质，之后装入混凝土运输车内运往建筑工地。</w:t>
            </w:r>
          </w:p>
          <w:p>
            <w:pPr>
              <w:autoSpaceDE w:val="0"/>
              <w:autoSpaceDN w:val="0"/>
              <w:ind w:firstLine="480" w:firstLineChars="200"/>
              <w:jc w:val="both"/>
              <w:rPr>
                <w:rFonts w:hint="default" w:ascii="Times New Roman" w:hAnsi="Times New Roman" w:cs="Times New Roman"/>
                <w:color w:val="auto"/>
                <w:lang w:eastAsia="zh-CN"/>
              </w:rPr>
            </w:pPr>
            <w:r>
              <w:rPr>
                <w:rFonts w:hint="default" w:ascii="Times New Roman" w:hAnsi="Times New Roman" w:cs="Times New Roman"/>
                <w:color w:val="auto"/>
                <w:lang w:eastAsia="zh-CN"/>
              </w:rPr>
              <w:t>本项目预拌混凝土生产过程中砂、石提升以皮带输送方式完成；水泥、粉煤灰、矿粉等粉状原料使用压缩空气分别吹入各自的筒仓，辅以螺旋输送机及计量秤供料；搅拌用水采用压力供水。</w:t>
            </w:r>
          </w:p>
          <w:p>
            <w:pPr>
              <w:ind w:firstLine="480" w:firstLineChars="200"/>
              <w:jc w:val="both"/>
              <w:rPr>
                <w:rFonts w:hint="default" w:ascii="Times New Roman" w:hAnsi="Times New Roman" w:cs="Times New Roman"/>
                <w:color w:val="auto"/>
                <w:lang w:val="zh-CN"/>
              </w:rPr>
            </w:pPr>
            <w:r>
              <w:rPr>
                <w:rFonts w:hint="default" w:ascii="Times New Roman" w:hAnsi="Times New Roman" w:cs="Times New Roman"/>
                <w:color w:val="auto"/>
                <w:lang w:val="zh-TW"/>
              </w:rPr>
              <w:t>本项目整体工艺流程及排污情况如图</w:t>
            </w:r>
            <w:r>
              <w:rPr>
                <w:rFonts w:hint="default" w:ascii="Times New Roman" w:hAnsi="Times New Roman" w:cs="Times New Roman"/>
                <w:color w:val="auto"/>
              </w:rPr>
              <w:t>2.5。</w:t>
            </w:r>
          </w:p>
          <w:p>
            <w:pPr>
              <w:jc w:val="center"/>
              <w:rPr>
                <w:rFonts w:hint="default" w:ascii="Times New Roman" w:hAnsi="Times New Roman" w:cs="Times New Roman"/>
                <w:b/>
                <w:bCs/>
                <w:color w:val="auto"/>
                <w:lang w:val="zh-TW"/>
              </w:rPr>
            </w:pPr>
            <w:r>
              <w:rPr>
                <w:rFonts w:hint="default" w:ascii="Times New Roman" w:hAnsi="Times New Roman" w:cs="Times New Roman"/>
                <w:b/>
                <w:bCs/>
                <w:color w:val="auto"/>
                <w:lang w:val="zh-TW"/>
              </w:rPr>
              <w:object>
                <v:shape id="_x0000_i1026" o:spt="75" type="#_x0000_t75" style="height:343.35pt;width:413.95pt;" o:ole="t" filled="f" o:preferrelative="t" stroked="f" coordsize="21600,21600">
                  <v:path/>
                  <v:fill on="f" focussize="0,0"/>
                  <v:stroke on="f"/>
                  <v:imagedata r:id="rId13" o:title=""/>
                  <o:lock v:ext="edit" aspectratio="f"/>
                  <w10:wrap type="none"/>
                  <w10:anchorlock/>
                </v:shape>
                <o:OLEObject Type="Embed" ProgID="Visio.Drawing.11" ShapeID="_x0000_i1026" DrawAspect="Content" ObjectID="_1468075726" r:id="rId12">
                  <o:LockedField>false</o:LockedField>
                </o:OLEObject>
              </w:object>
            </w:r>
          </w:p>
          <w:p>
            <w:pPr>
              <w:jc w:val="center"/>
              <w:rPr>
                <w:rFonts w:hint="default" w:ascii="Times New Roman" w:hAnsi="Times New Roman" w:cs="Times New Roman"/>
                <w:b/>
                <w:bCs/>
                <w:color w:val="auto"/>
                <w:lang w:val="zh-TW"/>
              </w:rPr>
            </w:pPr>
            <w:r>
              <w:rPr>
                <w:rFonts w:hint="default" w:ascii="Times New Roman" w:hAnsi="Times New Roman" w:cs="Times New Roman"/>
                <w:b/>
                <w:bCs/>
                <w:color w:val="auto"/>
                <w:lang w:val="zh-TW"/>
              </w:rPr>
              <w:t>图</w:t>
            </w:r>
            <w:r>
              <w:rPr>
                <w:rFonts w:hint="default" w:ascii="Times New Roman" w:hAnsi="Times New Roman" w:cs="Times New Roman"/>
                <w:b/>
                <w:bCs/>
                <w:color w:val="auto"/>
              </w:rPr>
              <w:t xml:space="preserve">2.5  </w:t>
            </w:r>
            <w:r>
              <w:rPr>
                <w:rFonts w:hint="default" w:ascii="Times New Roman" w:hAnsi="Times New Roman" w:cs="Times New Roman"/>
                <w:b/>
                <w:bCs/>
                <w:color w:val="auto"/>
                <w:lang w:val="zh-TW"/>
              </w:rPr>
              <w:t>项目运营期整体工艺流程及排污情况</w:t>
            </w:r>
          </w:p>
        </w:tc>
      </w:tr>
    </w:tbl>
    <w:tbl>
      <w:tblPr>
        <w:tblStyle w:val="17"/>
        <w:tblpPr w:leftFromText="180" w:rightFromText="180" w:vertAnchor="text" w:horzAnchor="margin" w:tblpY="541"/>
        <w:tblOverlap w:val="never"/>
        <w:tblW w:w="8522"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3544" w:hRule="atLeast"/>
        </w:trPr>
        <w:tc>
          <w:tcPr>
            <w:tcW w:w="8522" w:type="dxa"/>
            <w:vAlign w:val="top"/>
          </w:tcPr>
          <w:p>
            <w:pPr>
              <w:jc w:val="both"/>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688960" behindDoc="0" locked="0" layoutInCell="1" allowOverlap="1">
                      <wp:simplePos x="0" y="0"/>
                      <wp:positionH relativeFrom="column">
                        <wp:posOffset>-37465</wp:posOffset>
                      </wp:positionH>
                      <wp:positionV relativeFrom="paragraph">
                        <wp:posOffset>-352425</wp:posOffset>
                      </wp:positionV>
                      <wp:extent cx="1476375" cy="466725"/>
                      <wp:effectExtent l="0" t="0" r="0" b="0"/>
                      <wp:wrapNone/>
                      <wp:docPr id="50" name="文本框 50"/>
                      <wp:cNvGraphicFramePr/>
                      <a:graphic xmlns:a="http://schemas.openxmlformats.org/drawingml/2006/main">
                        <a:graphicData uri="http://schemas.microsoft.com/office/word/2010/wordprocessingShape">
                          <wps:wsp>
                            <wps:cNvSpPr txBox="1"/>
                            <wps:spPr>
                              <a:xfrm>
                                <a:off x="1076960" y="876935"/>
                                <a:ext cx="1476375" cy="466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ascii="Times New Roman" w:hAnsi="Times New Roman"/>
                                      <w:b/>
                                      <w:szCs w:val="24"/>
                                    </w:rPr>
                                    <w:t>表三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pt;margin-top:-27.75pt;height:36.75pt;width:116.25pt;z-index:251688960;mso-width-relative:page;mso-height-relative:page;" filled="f" stroked="f" coordsize="21600,21600" o:gfxdata="UEsDBAoAAAAAAIdO4kAAAAAAAAAAAAAAAAAEAAAAZHJzL1BLAwQUAAAACACHTuJAlZVpztkAAAAJ&#10;AQAADwAAAGRycy9kb3ducmV2LnhtbE2PTUvDQBCG74L/YRnBW7tpICHGbIoEiiB6aO3F2yQ7TYK7&#10;szG7/dBf7/akp2GYh3eet1pfrBEnmv3oWMFqmYAg7pweuVewf98sChA+IGs0jknBN3lY17c3FZba&#10;nXlLp13oRQxhX6KCIYSplNJ3A1n0SzcRx9vBzRZDXOde6hnPMdwamSZJLi2OHD8MOFEzUPe5O1oF&#10;L83mDbdtaosf0zy/Hp6mr/1HptT93Sp5BBHoEv5guOpHdaijU+uOrL0wChbZQySvM8tARCBN8xxE&#10;G8kiAVlX8n+D+hdQSwMEFAAAAAgAh07iQCm7t3UpAgAAJQQAAA4AAABkcnMvZTJvRG9jLnhtbK1T&#10;S44TMRDdI3EHy3vS+XZmonRGYUZBSBEzUkCsHbedtGS7jO2kOxwAbjArNuw5V85B2Z3MhM8KsXGX&#10;Xa/r8+rV9KbRiuyF8xWYgvY6XUqE4VBWZlPQD+8Xr64o8YGZkikwoqAH4enN7OWLaW0nog9bUKVw&#10;BIMYP6ltQbch2EmWeb4VmvkOWGHQKcFpFvDqNlnpWI3Rtcr63W6e1eBK64AL7/H1rnXSWYovpeDh&#10;XkovAlEFxdpCOl061/HMZlM22ThmtxU/lcH+oQrNKoNJn0LdscDIzlV/hNIVd+BBhg4HnYGUFRep&#10;B+ym1/2tm9WWWZF6QXK8faLJ/7+w/N3+wZGqLOgI6TFM44yOj1+P334cv38h+IYE1dZPELeyiAzN&#10;a2hw0Od3j4+x70Y6Hb/YEYn+7ji/zjHioaBXaA5GLdOiCYRH/3CcD8YjSjgChnk+7idA9hzIOh/e&#10;CNAkGgV1OMlEMNsvfcCiEHqGxLwGFpVSaZrKkLqg+QCL/8WDfyiDP8Z22rKjFZp1c+pxDeUBW3TQ&#10;qsRbvqgw+ZL58MAcygL7QamHezykAkwCJ4uSLbjPf3uPeJwWeimpUWYF9Z92zAlK1FuDc7zuDYdR&#10;l+kyHI37eHGXnvWlx+z0LaCSe7hUlicz4oM6m9KB/ogbMY9Z0cUMx9wFDWfzNrTix43iYj5PIFSi&#10;ZWFpVpbH0C1p810AWSWmI00tNyf2UItpAKe9iWK/vCfU83bP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VlWnO2QAAAAkBAAAPAAAAAAAAAAEAIAAAACIAAABkcnMvZG93bnJldi54bWxQSwECFAAU&#10;AAAACACHTuJAKbu3dSkCAAAlBAAADgAAAAAAAAABACAAAAAoAQAAZHJzL2Uyb0RvYy54bWxQSwUG&#10;AAAAAAYABgBZAQAAwwUAAAAA&#10;">
                      <v:fill on="f" focussize="0,0"/>
                      <v:stroke on="f" weight="0.5pt"/>
                      <v:imagedata o:title=""/>
                      <o:lock v:ext="edit" aspectratio="f"/>
                      <v:textbox>
                        <w:txbxContent>
                          <w:p>
                            <w:r>
                              <w:rPr>
                                <w:rFonts w:ascii="Times New Roman" w:hAnsi="Times New Roman"/>
                                <w:b/>
                                <w:szCs w:val="24"/>
                              </w:rPr>
                              <w:t>表三</w:t>
                            </w:r>
                          </w:p>
                        </w:txbxContent>
                      </v:textbox>
                    </v:shape>
                  </w:pict>
                </mc:Fallback>
              </mc:AlternateContent>
            </w:r>
            <w:r>
              <w:rPr>
                <w:rFonts w:hint="default" w:ascii="Times New Roman" w:hAnsi="Times New Roman" w:cs="Times New Roman"/>
                <w:color w:val="auto"/>
              </w:rPr>
              <w:t>主要污染源、污染物处理和排放</w:t>
            </w:r>
          </w:p>
          <w:p>
            <w:pPr>
              <w:pStyle w:val="4"/>
              <w:ind w:left="0" w:leftChars="0"/>
              <w:rPr>
                <w:rFonts w:hint="default" w:ascii="Times New Roman" w:hAnsi="Times New Roman" w:cs="Times New Roman"/>
                <w:color w:val="auto"/>
              </w:rPr>
            </w:pPr>
            <w:r>
              <w:rPr>
                <w:rFonts w:hint="default" w:ascii="Times New Roman" w:hAnsi="Times New Roman" w:cs="Times New Roman"/>
                <w:color w:val="auto"/>
              </w:rPr>
              <w:t>1、固体废物</w:t>
            </w:r>
          </w:p>
          <w:p>
            <w:pPr>
              <w:pStyle w:val="7"/>
              <w:ind w:firstLine="480" w:firstLineChars="0"/>
              <w:jc w:val="both"/>
              <w:rPr>
                <w:rFonts w:hint="default" w:ascii="Times New Roman" w:hAnsi="Times New Roman" w:cs="Times New Roman"/>
                <w:color w:val="auto"/>
              </w:rPr>
            </w:pPr>
            <w:r>
              <w:rPr>
                <w:rFonts w:hint="default" w:ascii="Times New Roman" w:hAnsi="Times New Roman" w:cs="Times New Roman"/>
                <w:color w:val="auto"/>
              </w:rPr>
              <w:t>本项目营运期固体废物主要为生活垃圾、</w:t>
            </w:r>
            <w:r>
              <w:rPr>
                <w:rFonts w:hint="default" w:ascii="Times New Roman" w:hAnsi="Times New Roman" w:cs="Times New Roman"/>
                <w:color w:val="auto"/>
                <w:lang w:eastAsia="zh-CN"/>
              </w:rPr>
              <w:t>废砂石、除尘器收集的除尘灰及</w:t>
            </w:r>
            <w:r>
              <w:rPr>
                <w:rFonts w:hint="default" w:ascii="Times New Roman" w:hAnsi="Times New Roman" w:cs="Times New Roman"/>
                <w:color w:val="auto"/>
              </w:rPr>
              <w:t>废机油</w:t>
            </w:r>
            <w:r>
              <w:rPr>
                <w:rFonts w:hint="default" w:ascii="Times New Roman" w:hAnsi="Times New Roman" w:cs="Times New Roman"/>
                <w:color w:val="auto"/>
                <w:lang w:eastAsia="zh-CN"/>
              </w:rPr>
              <w:t>等</w:t>
            </w:r>
            <w:r>
              <w:rPr>
                <w:rFonts w:hint="default" w:ascii="Times New Roman" w:hAnsi="Times New Roman" w:cs="Times New Roman"/>
                <w:color w:val="auto"/>
              </w:rPr>
              <w:t>。</w:t>
            </w:r>
          </w:p>
          <w:p>
            <w:pPr>
              <w:pStyle w:val="7"/>
              <w:widowControl w:val="0"/>
              <w:ind w:firstLine="480" w:firstLineChars="0"/>
              <w:jc w:val="both"/>
              <w:rPr>
                <w:rFonts w:hint="default" w:ascii="Times New Roman" w:hAnsi="Times New Roman" w:cs="Times New Roman"/>
                <w:color w:val="auto"/>
              </w:rPr>
            </w:pPr>
            <w:r>
              <w:rPr>
                <w:rFonts w:hint="default" w:ascii="Times New Roman" w:hAnsi="Times New Roman" w:cs="Times New Roman"/>
                <w:color w:val="auto"/>
              </w:rPr>
              <w:t>厂区设垃圾桶，将生活垃圾集中收集后送至当地环卫部门指定堆存地点；</w:t>
            </w:r>
            <w:r>
              <w:rPr>
                <w:rFonts w:hint="default" w:ascii="Times New Roman" w:hAnsi="Times New Roman" w:cs="Times New Roman"/>
                <w:color w:val="auto"/>
                <w:lang w:eastAsia="zh-CN"/>
              </w:rPr>
              <w:t>筛砂机、砂石分离器分离出来的废砂石等委托西咸新区江源保洁服务公司运至合法垃圾处理厂</w:t>
            </w:r>
            <w:r>
              <w:rPr>
                <w:rFonts w:hint="default" w:ascii="Times New Roman" w:hAnsi="Times New Roman" w:cs="Times New Roman"/>
                <w:color w:val="auto"/>
              </w:rPr>
              <w:t>（详见附件</w:t>
            </w:r>
            <w:r>
              <w:rPr>
                <w:rFonts w:hint="eastAsia" w:cs="Times New Roman"/>
                <w:color w:val="auto"/>
                <w:lang w:val="en-US" w:eastAsia="zh-CN"/>
              </w:rPr>
              <w:t>6</w:t>
            </w:r>
            <w:r>
              <w:rPr>
                <w:rFonts w:hint="default" w:ascii="Times New Roman" w:hAnsi="Times New Roman" w:cs="Times New Roman"/>
                <w:color w:val="auto"/>
                <w:lang w:eastAsia="zh-CN"/>
              </w:rPr>
              <w:t>垃圾清运合同</w:t>
            </w:r>
            <w:r>
              <w:rPr>
                <w:rFonts w:hint="default" w:ascii="Times New Roman" w:hAnsi="Times New Roman" w:cs="Times New Roman"/>
                <w:color w:val="auto"/>
              </w:rPr>
              <w:t>）；</w:t>
            </w:r>
            <w:r>
              <w:rPr>
                <w:rFonts w:hint="default" w:ascii="Times New Roman" w:hAnsi="Times New Roman" w:cs="Times New Roman"/>
                <w:color w:val="auto"/>
                <w:lang w:eastAsia="zh-CN"/>
              </w:rPr>
              <w:t>除尘装置收集的除尘灰均回用于生产，综合利用；</w:t>
            </w:r>
            <w:r>
              <w:rPr>
                <w:rFonts w:hint="default" w:ascii="Times New Roman" w:hAnsi="Times New Roman" w:cs="Times New Roman"/>
                <w:color w:val="auto"/>
              </w:rPr>
              <w:t>设备机油更换产生的废机油暂存于危废暂存间，委托有处理资质的单位处置（见附件</w:t>
            </w:r>
            <w:r>
              <w:rPr>
                <w:rFonts w:hint="eastAsia" w:cs="Times New Roman"/>
                <w:color w:val="auto"/>
                <w:lang w:val="en-US" w:eastAsia="zh-CN"/>
              </w:rPr>
              <w:t>7</w:t>
            </w:r>
            <w:r>
              <w:rPr>
                <w:rFonts w:hint="default" w:ascii="Times New Roman" w:hAnsi="Times New Roman" w:cs="Times New Roman"/>
                <w:color w:val="auto"/>
              </w:rPr>
              <w:t>危险废物处理合同）。项目固体废物污染治理措施见表3-1。</w:t>
            </w:r>
          </w:p>
          <w:p>
            <w:pPr>
              <w:pStyle w:val="7"/>
              <w:widowControl w:val="0"/>
              <w:spacing w:line="240" w:lineRule="auto"/>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表3-1    项目固体废物污染治理措施表</w:t>
            </w:r>
          </w:p>
          <w:tbl>
            <w:tblPr>
              <w:tblStyle w:val="17"/>
              <w:tblW w:w="830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0"/>
              <w:gridCol w:w="799"/>
              <w:gridCol w:w="1513"/>
              <w:gridCol w:w="1825"/>
              <w:gridCol w:w="1000"/>
              <w:gridCol w:w="24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730" w:type="dxa"/>
                  <w:noWrap w:val="0"/>
                  <w:vAlign w:val="center"/>
                </w:tcPr>
                <w:p>
                  <w:pPr>
                    <w:pStyle w:val="7"/>
                    <w:widowControl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2312" w:type="dxa"/>
                  <w:gridSpan w:val="2"/>
                  <w:noWrap w:val="0"/>
                  <w:vAlign w:val="center"/>
                </w:tcPr>
                <w:p>
                  <w:pPr>
                    <w:pStyle w:val="7"/>
                    <w:widowControl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固体废物</w:t>
                  </w:r>
                </w:p>
              </w:tc>
              <w:tc>
                <w:tcPr>
                  <w:tcW w:w="1825" w:type="dxa"/>
                  <w:noWrap w:val="0"/>
                  <w:vAlign w:val="center"/>
                </w:tcPr>
                <w:p>
                  <w:pPr>
                    <w:pStyle w:val="7"/>
                    <w:widowControl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来源</w:t>
                  </w:r>
                </w:p>
              </w:tc>
              <w:tc>
                <w:tcPr>
                  <w:tcW w:w="1000" w:type="dxa"/>
                  <w:noWrap w:val="0"/>
                  <w:vAlign w:val="center"/>
                </w:tcPr>
                <w:p>
                  <w:pPr>
                    <w:pStyle w:val="7"/>
                    <w:widowControl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产生量</w:t>
                  </w:r>
                </w:p>
              </w:tc>
              <w:tc>
                <w:tcPr>
                  <w:tcW w:w="2439" w:type="dxa"/>
                  <w:noWrap w:val="0"/>
                  <w:vAlign w:val="center"/>
                </w:tcPr>
                <w:p>
                  <w:pPr>
                    <w:pStyle w:val="7"/>
                    <w:widowControl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trPr>
              <w:tc>
                <w:tcPr>
                  <w:tcW w:w="730" w:type="dxa"/>
                  <w:noWrap w:val="0"/>
                  <w:vAlign w:val="center"/>
                </w:tcPr>
                <w:p>
                  <w:pPr>
                    <w:pStyle w:val="7"/>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99" w:type="dxa"/>
                  <w:noWrap w:val="0"/>
                  <w:vAlign w:val="center"/>
                </w:tcPr>
                <w:p>
                  <w:pPr>
                    <w:pStyle w:val="7"/>
                    <w:widowControl w:val="0"/>
                    <w:spacing w:line="240" w:lineRule="auto"/>
                    <w:ind w:firstLine="0" w:firstLineChars="0"/>
                    <w:jc w:val="center"/>
                    <w:rPr>
                      <w:rFonts w:hint="default" w:ascii="Times New Roman" w:hAnsi="Times New Roman" w:cs="Times New Roman"/>
                      <w:bCs w:val="0"/>
                      <w:color w:val="auto"/>
                      <w:sz w:val="21"/>
                      <w:szCs w:val="21"/>
                    </w:rPr>
                  </w:pPr>
                  <w:r>
                    <w:rPr>
                      <w:rFonts w:hint="default" w:ascii="Times New Roman" w:hAnsi="Times New Roman" w:cs="Times New Roman"/>
                      <w:bCs w:val="0"/>
                      <w:color w:val="auto"/>
                      <w:sz w:val="21"/>
                      <w:szCs w:val="21"/>
                    </w:rPr>
                    <w:t>生活</w:t>
                  </w:r>
                </w:p>
                <w:p>
                  <w:pPr>
                    <w:pStyle w:val="7"/>
                    <w:widowControl w:val="0"/>
                    <w:spacing w:line="240" w:lineRule="auto"/>
                    <w:ind w:firstLine="0" w:firstLineChars="0"/>
                    <w:jc w:val="center"/>
                    <w:rPr>
                      <w:rFonts w:hint="default" w:ascii="Times New Roman" w:hAnsi="Times New Roman" w:cs="Times New Roman"/>
                      <w:bCs w:val="0"/>
                      <w:color w:val="auto"/>
                      <w:sz w:val="21"/>
                      <w:szCs w:val="21"/>
                    </w:rPr>
                  </w:pPr>
                  <w:r>
                    <w:rPr>
                      <w:rFonts w:hint="default" w:ascii="Times New Roman" w:hAnsi="Times New Roman" w:cs="Times New Roman"/>
                      <w:bCs w:val="0"/>
                      <w:color w:val="auto"/>
                      <w:sz w:val="21"/>
                      <w:szCs w:val="21"/>
                    </w:rPr>
                    <w:t>垃圾</w:t>
                  </w:r>
                </w:p>
              </w:tc>
              <w:tc>
                <w:tcPr>
                  <w:tcW w:w="1513" w:type="dxa"/>
                  <w:noWrap w:val="0"/>
                  <w:vAlign w:val="center"/>
                </w:tcPr>
                <w:p>
                  <w:pPr>
                    <w:pStyle w:val="7"/>
                    <w:widowControl w:val="0"/>
                    <w:spacing w:line="240" w:lineRule="auto"/>
                    <w:ind w:firstLine="0" w:firstLineChars="0"/>
                    <w:jc w:val="center"/>
                    <w:rPr>
                      <w:rFonts w:hint="default" w:ascii="Times New Roman" w:hAnsi="Times New Roman" w:cs="Times New Roman"/>
                      <w:bCs w:val="0"/>
                      <w:color w:val="auto"/>
                      <w:sz w:val="21"/>
                      <w:szCs w:val="21"/>
                    </w:rPr>
                  </w:pPr>
                  <w:r>
                    <w:rPr>
                      <w:rFonts w:hint="default" w:ascii="Times New Roman" w:hAnsi="Times New Roman" w:cs="Times New Roman"/>
                      <w:bCs w:val="0"/>
                      <w:color w:val="auto"/>
                      <w:sz w:val="21"/>
                      <w:szCs w:val="21"/>
                    </w:rPr>
                    <w:t>员工生活垃圾</w:t>
                  </w:r>
                </w:p>
              </w:tc>
              <w:tc>
                <w:tcPr>
                  <w:tcW w:w="1825" w:type="dxa"/>
                  <w:noWrap w:val="0"/>
                  <w:vAlign w:val="center"/>
                </w:tcPr>
                <w:p>
                  <w:pPr>
                    <w:pStyle w:val="7"/>
                    <w:widowControl w:val="0"/>
                    <w:spacing w:line="240" w:lineRule="auto"/>
                    <w:ind w:firstLine="0" w:firstLineChars="0"/>
                    <w:jc w:val="center"/>
                    <w:rPr>
                      <w:rFonts w:hint="default" w:ascii="Times New Roman" w:hAnsi="Times New Roman" w:cs="Times New Roman"/>
                      <w:bCs w:val="0"/>
                      <w:color w:val="auto"/>
                      <w:sz w:val="21"/>
                      <w:szCs w:val="21"/>
                    </w:rPr>
                  </w:pPr>
                  <w:r>
                    <w:rPr>
                      <w:rFonts w:hint="default" w:ascii="Times New Roman" w:hAnsi="Times New Roman" w:cs="Times New Roman"/>
                      <w:bCs w:val="0"/>
                      <w:color w:val="auto"/>
                      <w:sz w:val="21"/>
                      <w:szCs w:val="21"/>
                    </w:rPr>
                    <w:t>办公生活</w:t>
                  </w:r>
                </w:p>
              </w:tc>
              <w:tc>
                <w:tcPr>
                  <w:tcW w:w="1000" w:type="dxa"/>
                  <w:noWrap w:val="0"/>
                  <w:vAlign w:val="center"/>
                </w:tcPr>
                <w:p>
                  <w:pPr>
                    <w:pStyle w:val="7"/>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t/a</w:t>
                  </w:r>
                </w:p>
              </w:tc>
              <w:tc>
                <w:tcPr>
                  <w:tcW w:w="2439" w:type="dxa"/>
                  <w:noWrap w:val="0"/>
                  <w:vAlign w:val="center"/>
                </w:tcPr>
                <w:p>
                  <w:pPr>
                    <w:pStyle w:val="7"/>
                    <w:spacing w:line="240" w:lineRule="auto"/>
                    <w:ind w:firstLine="0" w:firstLineChars="0"/>
                    <w:jc w:val="center"/>
                    <w:rPr>
                      <w:rFonts w:hint="default" w:ascii="Times New Roman" w:hAnsi="Times New Roman" w:cs="Times New Roman"/>
                      <w:bCs w:val="0"/>
                      <w:color w:val="auto"/>
                      <w:sz w:val="21"/>
                      <w:szCs w:val="21"/>
                    </w:rPr>
                  </w:pPr>
                  <w:r>
                    <w:rPr>
                      <w:rFonts w:hint="default" w:ascii="Times New Roman" w:hAnsi="Times New Roman" w:cs="Times New Roman"/>
                      <w:bCs w:val="0"/>
                      <w:color w:val="auto"/>
                      <w:sz w:val="21"/>
                      <w:szCs w:val="21"/>
                    </w:rPr>
                    <w:t>垃圾桶收集后交环卫部门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trPr>
              <w:tc>
                <w:tcPr>
                  <w:tcW w:w="730" w:type="dxa"/>
                  <w:noWrap w:val="0"/>
                  <w:vAlign w:val="center"/>
                </w:tcPr>
                <w:p>
                  <w:pPr>
                    <w:pStyle w:val="7"/>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799" w:type="dxa"/>
                  <w:vMerge w:val="restart"/>
                  <w:noWrap w:val="0"/>
                  <w:vAlign w:val="center"/>
                </w:tcPr>
                <w:p>
                  <w:pPr>
                    <w:pStyle w:val="7"/>
                    <w:widowControl w:val="0"/>
                    <w:spacing w:line="240" w:lineRule="auto"/>
                    <w:ind w:firstLine="0" w:firstLineChars="0"/>
                    <w:jc w:val="center"/>
                    <w:rPr>
                      <w:rFonts w:hint="default" w:ascii="Times New Roman" w:hAnsi="Times New Roman" w:cs="Times New Roman"/>
                      <w:bCs w:val="0"/>
                      <w:color w:val="auto"/>
                      <w:sz w:val="21"/>
                      <w:szCs w:val="21"/>
                    </w:rPr>
                  </w:pPr>
                  <w:r>
                    <w:rPr>
                      <w:rFonts w:hint="default" w:ascii="Times New Roman" w:hAnsi="Times New Roman" w:cs="Times New Roman"/>
                      <w:bCs w:val="0"/>
                      <w:color w:val="auto"/>
                      <w:sz w:val="21"/>
                      <w:szCs w:val="21"/>
                    </w:rPr>
                    <w:t>一般固体废物</w:t>
                  </w:r>
                </w:p>
              </w:tc>
              <w:tc>
                <w:tcPr>
                  <w:tcW w:w="1513" w:type="dxa"/>
                  <w:noWrap w:val="0"/>
                  <w:vAlign w:val="center"/>
                </w:tcPr>
                <w:p>
                  <w:pPr>
                    <w:pStyle w:val="7"/>
                    <w:widowControl w:val="0"/>
                    <w:spacing w:line="240" w:lineRule="auto"/>
                    <w:ind w:firstLine="0" w:firstLineChars="0"/>
                    <w:jc w:val="center"/>
                    <w:rPr>
                      <w:rFonts w:hint="default" w:ascii="Times New Roman" w:hAnsi="Times New Roman" w:eastAsia="宋体" w:cs="Times New Roman"/>
                      <w:bCs w:val="0"/>
                      <w:color w:val="auto"/>
                      <w:sz w:val="21"/>
                      <w:szCs w:val="21"/>
                      <w:lang w:eastAsia="zh-CN"/>
                    </w:rPr>
                  </w:pPr>
                  <w:r>
                    <w:rPr>
                      <w:rFonts w:hint="default" w:ascii="Times New Roman" w:hAnsi="Times New Roman" w:cs="Times New Roman"/>
                      <w:bCs w:val="0"/>
                      <w:color w:val="auto"/>
                      <w:sz w:val="21"/>
                      <w:szCs w:val="21"/>
                      <w:lang w:eastAsia="zh-CN"/>
                    </w:rPr>
                    <w:t>筛分固废</w:t>
                  </w:r>
                </w:p>
              </w:tc>
              <w:tc>
                <w:tcPr>
                  <w:tcW w:w="1825" w:type="dxa"/>
                  <w:noWrap w:val="0"/>
                  <w:vAlign w:val="center"/>
                </w:tcPr>
                <w:p>
                  <w:pPr>
                    <w:pStyle w:val="7"/>
                    <w:widowControl w:val="0"/>
                    <w:spacing w:line="240" w:lineRule="auto"/>
                    <w:ind w:firstLine="0" w:firstLineChars="0"/>
                    <w:jc w:val="center"/>
                    <w:rPr>
                      <w:rFonts w:hint="default" w:ascii="Times New Roman" w:hAnsi="Times New Roman" w:eastAsia="宋体" w:cs="Times New Roman"/>
                      <w:bCs w:val="0"/>
                      <w:color w:val="auto"/>
                      <w:sz w:val="21"/>
                      <w:szCs w:val="21"/>
                      <w:lang w:eastAsia="zh-CN"/>
                    </w:rPr>
                  </w:pPr>
                  <w:r>
                    <w:rPr>
                      <w:rFonts w:hint="default" w:ascii="Times New Roman" w:hAnsi="Times New Roman" w:cs="Times New Roman"/>
                      <w:bCs w:val="0"/>
                      <w:color w:val="auto"/>
                      <w:sz w:val="21"/>
                      <w:szCs w:val="21"/>
                      <w:lang w:eastAsia="zh-CN"/>
                    </w:rPr>
                    <w:t>筛砂机、砂石分离器</w:t>
                  </w:r>
                </w:p>
              </w:tc>
              <w:tc>
                <w:tcPr>
                  <w:tcW w:w="1000" w:type="dxa"/>
                  <w:noWrap w:val="0"/>
                  <w:vAlign w:val="center"/>
                </w:tcPr>
                <w:p>
                  <w:pPr>
                    <w:pStyle w:val="7"/>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30</w:t>
                  </w:r>
                  <w:r>
                    <w:rPr>
                      <w:rFonts w:hint="default" w:ascii="Times New Roman" w:hAnsi="Times New Roman" w:cs="Times New Roman"/>
                      <w:color w:val="auto"/>
                      <w:sz w:val="21"/>
                      <w:szCs w:val="21"/>
                    </w:rPr>
                    <w:t>t/a</w:t>
                  </w:r>
                </w:p>
              </w:tc>
              <w:tc>
                <w:tcPr>
                  <w:tcW w:w="2439" w:type="dxa"/>
                  <w:noWrap w:val="0"/>
                  <w:vAlign w:val="center"/>
                </w:tcPr>
                <w:p>
                  <w:pPr>
                    <w:pStyle w:val="7"/>
                    <w:spacing w:line="240" w:lineRule="auto"/>
                    <w:ind w:firstLine="0" w:firstLineChars="0"/>
                    <w:jc w:val="center"/>
                    <w:rPr>
                      <w:rFonts w:hint="default" w:ascii="Times New Roman" w:hAnsi="Times New Roman" w:cs="Times New Roman"/>
                      <w:bCs w:val="0"/>
                      <w:color w:val="auto"/>
                      <w:sz w:val="21"/>
                      <w:szCs w:val="21"/>
                    </w:rPr>
                  </w:pPr>
                  <w:r>
                    <w:rPr>
                      <w:rFonts w:hint="default" w:ascii="Times New Roman" w:hAnsi="Times New Roman" w:cs="Times New Roman"/>
                      <w:bCs w:val="0"/>
                      <w:color w:val="auto"/>
                      <w:sz w:val="21"/>
                      <w:szCs w:val="21"/>
                    </w:rPr>
                    <w:t>西咸新区江源保洁服务公司运至合法垃圾处理厂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trPr>
              <w:tc>
                <w:tcPr>
                  <w:tcW w:w="730" w:type="dxa"/>
                  <w:noWrap w:val="0"/>
                  <w:vAlign w:val="center"/>
                </w:tcPr>
                <w:p>
                  <w:pPr>
                    <w:pStyle w:val="7"/>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799" w:type="dxa"/>
                  <w:vMerge w:val="continue"/>
                  <w:noWrap w:val="0"/>
                  <w:vAlign w:val="center"/>
                </w:tcPr>
                <w:p>
                  <w:pPr>
                    <w:pStyle w:val="7"/>
                    <w:widowControl w:val="0"/>
                    <w:spacing w:line="240" w:lineRule="auto"/>
                    <w:ind w:firstLine="0" w:firstLineChars="0"/>
                    <w:jc w:val="center"/>
                    <w:rPr>
                      <w:rFonts w:hint="default" w:ascii="Times New Roman" w:hAnsi="Times New Roman" w:cs="Times New Roman"/>
                      <w:bCs w:val="0"/>
                      <w:color w:val="auto"/>
                      <w:sz w:val="21"/>
                      <w:szCs w:val="21"/>
                    </w:rPr>
                  </w:pPr>
                </w:p>
              </w:tc>
              <w:tc>
                <w:tcPr>
                  <w:tcW w:w="1513" w:type="dxa"/>
                  <w:noWrap w:val="0"/>
                  <w:vAlign w:val="center"/>
                </w:tcPr>
                <w:p>
                  <w:pPr>
                    <w:pStyle w:val="7"/>
                    <w:widowControl w:val="0"/>
                    <w:spacing w:line="240" w:lineRule="auto"/>
                    <w:ind w:firstLine="0" w:firstLineChars="0"/>
                    <w:jc w:val="center"/>
                    <w:rPr>
                      <w:rFonts w:hint="default" w:ascii="Times New Roman" w:hAnsi="Times New Roman" w:eastAsia="宋体" w:cs="Times New Roman"/>
                      <w:bCs w:val="0"/>
                      <w:color w:val="auto"/>
                      <w:sz w:val="21"/>
                      <w:szCs w:val="21"/>
                      <w:lang w:eastAsia="zh-CN"/>
                    </w:rPr>
                  </w:pPr>
                  <w:r>
                    <w:rPr>
                      <w:rFonts w:hint="default" w:ascii="Times New Roman" w:hAnsi="Times New Roman" w:cs="Times New Roman"/>
                      <w:bCs w:val="0"/>
                      <w:color w:val="auto"/>
                      <w:sz w:val="21"/>
                      <w:szCs w:val="21"/>
                      <w:lang w:eastAsia="zh-CN"/>
                    </w:rPr>
                    <w:t>除尘装置收集粉尘</w:t>
                  </w:r>
                </w:p>
              </w:tc>
              <w:tc>
                <w:tcPr>
                  <w:tcW w:w="1825" w:type="dxa"/>
                  <w:noWrap w:val="0"/>
                  <w:vAlign w:val="center"/>
                </w:tcPr>
                <w:p>
                  <w:pPr>
                    <w:pStyle w:val="7"/>
                    <w:widowControl w:val="0"/>
                    <w:spacing w:line="240" w:lineRule="auto"/>
                    <w:ind w:firstLine="0" w:firstLineChars="0"/>
                    <w:jc w:val="center"/>
                    <w:rPr>
                      <w:rFonts w:hint="default" w:ascii="Times New Roman" w:hAnsi="Times New Roman" w:eastAsia="宋体" w:cs="Times New Roman"/>
                      <w:bCs w:val="0"/>
                      <w:color w:val="auto"/>
                      <w:sz w:val="21"/>
                      <w:szCs w:val="21"/>
                      <w:lang w:eastAsia="zh-CN"/>
                    </w:rPr>
                  </w:pPr>
                  <w:r>
                    <w:rPr>
                      <w:rFonts w:hint="default" w:ascii="Times New Roman" w:hAnsi="Times New Roman" w:cs="Times New Roman"/>
                      <w:bCs w:val="0"/>
                      <w:color w:val="auto"/>
                      <w:sz w:val="21"/>
                      <w:szCs w:val="21"/>
                      <w:lang w:eastAsia="zh-CN"/>
                    </w:rPr>
                    <w:t>除尘装置</w:t>
                  </w:r>
                </w:p>
              </w:tc>
              <w:tc>
                <w:tcPr>
                  <w:tcW w:w="1000" w:type="dxa"/>
                  <w:noWrap w:val="0"/>
                  <w:vAlign w:val="center"/>
                </w:tcPr>
                <w:p>
                  <w:pPr>
                    <w:pStyle w:val="7"/>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170</w:t>
                  </w:r>
                  <w:r>
                    <w:rPr>
                      <w:rFonts w:hint="default" w:ascii="Times New Roman" w:hAnsi="Times New Roman" w:cs="Times New Roman"/>
                      <w:color w:val="auto"/>
                      <w:sz w:val="21"/>
                      <w:szCs w:val="21"/>
                    </w:rPr>
                    <w:t>t/a</w:t>
                  </w:r>
                </w:p>
              </w:tc>
              <w:tc>
                <w:tcPr>
                  <w:tcW w:w="2439" w:type="dxa"/>
                  <w:noWrap w:val="0"/>
                  <w:vAlign w:val="center"/>
                </w:tcPr>
                <w:p>
                  <w:pPr>
                    <w:spacing w:line="240" w:lineRule="auto"/>
                    <w:jc w:val="center"/>
                    <w:rPr>
                      <w:rFonts w:hint="default" w:ascii="Times New Roman" w:hAnsi="Times New Roman" w:eastAsia="宋体" w:cs="Times New Roman"/>
                      <w:bCs w:val="0"/>
                      <w:color w:val="auto"/>
                      <w:sz w:val="21"/>
                      <w:szCs w:val="21"/>
                      <w:lang w:eastAsia="zh-CN"/>
                    </w:rPr>
                  </w:pPr>
                  <w:r>
                    <w:rPr>
                      <w:rFonts w:hint="default" w:ascii="Times New Roman" w:hAnsi="Times New Roman" w:cs="Times New Roman"/>
                      <w:bCs w:val="0"/>
                      <w:color w:val="auto"/>
                      <w:sz w:val="21"/>
                      <w:szCs w:val="21"/>
                      <w:lang w:eastAsia="zh-CN"/>
                    </w:rPr>
                    <w:t>均回用于生产，综合利用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trPr>
              <w:tc>
                <w:tcPr>
                  <w:tcW w:w="730" w:type="dxa"/>
                  <w:noWrap w:val="0"/>
                  <w:vAlign w:val="center"/>
                </w:tcPr>
                <w:p>
                  <w:pPr>
                    <w:pStyle w:val="7"/>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4</w:t>
                  </w:r>
                </w:p>
              </w:tc>
              <w:tc>
                <w:tcPr>
                  <w:tcW w:w="799" w:type="dxa"/>
                  <w:noWrap w:val="0"/>
                  <w:vAlign w:val="center"/>
                </w:tcPr>
                <w:p>
                  <w:pPr>
                    <w:pStyle w:val="7"/>
                    <w:widowControl w:val="0"/>
                    <w:spacing w:line="240" w:lineRule="auto"/>
                    <w:ind w:firstLine="0" w:firstLineChars="0"/>
                    <w:jc w:val="center"/>
                    <w:rPr>
                      <w:rFonts w:hint="default" w:ascii="Times New Roman" w:hAnsi="Times New Roman" w:cs="Times New Roman"/>
                      <w:bCs w:val="0"/>
                      <w:color w:val="auto"/>
                      <w:sz w:val="21"/>
                      <w:szCs w:val="21"/>
                    </w:rPr>
                  </w:pPr>
                  <w:r>
                    <w:rPr>
                      <w:rFonts w:hint="default" w:ascii="Times New Roman" w:hAnsi="Times New Roman" w:cs="Times New Roman"/>
                      <w:bCs w:val="0"/>
                      <w:color w:val="auto"/>
                      <w:sz w:val="21"/>
                      <w:szCs w:val="21"/>
                    </w:rPr>
                    <w:t>危险</w:t>
                  </w:r>
                </w:p>
                <w:p>
                  <w:pPr>
                    <w:pStyle w:val="7"/>
                    <w:widowControl w:val="0"/>
                    <w:spacing w:line="240" w:lineRule="auto"/>
                    <w:ind w:firstLine="0" w:firstLineChars="0"/>
                    <w:jc w:val="center"/>
                    <w:rPr>
                      <w:rFonts w:hint="default" w:ascii="Times New Roman" w:hAnsi="Times New Roman" w:cs="Times New Roman"/>
                      <w:bCs w:val="0"/>
                      <w:color w:val="auto"/>
                      <w:sz w:val="21"/>
                      <w:szCs w:val="21"/>
                    </w:rPr>
                  </w:pPr>
                  <w:r>
                    <w:rPr>
                      <w:rFonts w:hint="default" w:ascii="Times New Roman" w:hAnsi="Times New Roman" w:cs="Times New Roman"/>
                      <w:bCs w:val="0"/>
                      <w:color w:val="auto"/>
                      <w:sz w:val="21"/>
                      <w:szCs w:val="21"/>
                    </w:rPr>
                    <w:t>废物</w:t>
                  </w:r>
                </w:p>
              </w:tc>
              <w:tc>
                <w:tcPr>
                  <w:tcW w:w="1513" w:type="dxa"/>
                  <w:noWrap w:val="0"/>
                  <w:vAlign w:val="center"/>
                </w:tcPr>
                <w:p>
                  <w:pPr>
                    <w:pStyle w:val="7"/>
                    <w:widowControl w:val="0"/>
                    <w:spacing w:line="240" w:lineRule="auto"/>
                    <w:ind w:firstLine="0" w:firstLineChars="0"/>
                    <w:jc w:val="center"/>
                    <w:rPr>
                      <w:rFonts w:hint="default" w:ascii="Times New Roman" w:hAnsi="Times New Roman" w:cs="Times New Roman"/>
                      <w:bCs w:val="0"/>
                      <w:color w:val="auto"/>
                      <w:sz w:val="21"/>
                      <w:szCs w:val="21"/>
                    </w:rPr>
                  </w:pPr>
                  <w:r>
                    <w:rPr>
                      <w:rFonts w:hint="default" w:ascii="Times New Roman" w:hAnsi="Times New Roman" w:cs="Times New Roman"/>
                      <w:bCs w:val="0"/>
                      <w:color w:val="auto"/>
                      <w:sz w:val="21"/>
                      <w:szCs w:val="21"/>
                    </w:rPr>
                    <w:t>废机油、废油手套、废油桶</w:t>
                  </w:r>
                </w:p>
              </w:tc>
              <w:tc>
                <w:tcPr>
                  <w:tcW w:w="1825" w:type="dxa"/>
                  <w:noWrap w:val="0"/>
                  <w:vAlign w:val="center"/>
                </w:tcPr>
                <w:p>
                  <w:pPr>
                    <w:pStyle w:val="7"/>
                    <w:widowControl w:val="0"/>
                    <w:spacing w:line="240" w:lineRule="auto"/>
                    <w:ind w:firstLine="0" w:firstLineChars="0"/>
                    <w:jc w:val="center"/>
                    <w:rPr>
                      <w:rFonts w:hint="default" w:ascii="Times New Roman" w:hAnsi="Times New Roman" w:cs="Times New Roman"/>
                      <w:bCs w:val="0"/>
                      <w:color w:val="auto"/>
                      <w:sz w:val="21"/>
                      <w:szCs w:val="21"/>
                    </w:rPr>
                  </w:pPr>
                  <w:r>
                    <w:rPr>
                      <w:rFonts w:hint="default" w:ascii="Times New Roman" w:hAnsi="Times New Roman" w:cs="Times New Roman"/>
                      <w:bCs w:val="0"/>
                      <w:color w:val="auto"/>
                      <w:sz w:val="21"/>
                      <w:szCs w:val="21"/>
                    </w:rPr>
                    <w:t>设备保养维修</w:t>
                  </w:r>
                </w:p>
              </w:tc>
              <w:tc>
                <w:tcPr>
                  <w:tcW w:w="1000" w:type="dxa"/>
                  <w:noWrap w:val="0"/>
                  <w:vAlign w:val="center"/>
                </w:tcPr>
                <w:p>
                  <w:pPr>
                    <w:pStyle w:val="7"/>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t/a</w:t>
                  </w:r>
                </w:p>
              </w:tc>
              <w:tc>
                <w:tcPr>
                  <w:tcW w:w="2439" w:type="dxa"/>
                  <w:noWrap w:val="0"/>
                  <w:vAlign w:val="center"/>
                </w:tcPr>
                <w:p>
                  <w:pPr>
                    <w:pStyle w:val="7"/>
                    <w:spacing w:line="240" w:lineRule="auto"/>
                    <w:ind w:firstLine="0" w:firstLineChars="0"/>
                    <w:jc w:val="center"/>
                    <w:rPr>
                      <w:rFonts w:hint="default" w:ascii="Times New Roman" w:hAnsi="Times New Roman" w:cs="Times New Roman"/>
                      <w:bCs w:val="0"/>
                      <w:color w:val="auto"/>
                      <w:sz w:val="21"/>
                      <w:szCs w:val="21"/>
                    </w:rPr>
                  </w:pPr>
                  <w:r>
                    <w:rPr>
                      <w:rFonts w:hint="default" w:ascii="Times New Roman" w:hAnsi="Times New Roman" w:cs="Times New Roman"/>
                      <w:bCs w:val="0"/>
                      <w:color w:val="auto"/>
                      <w:sz w:val="21"/>
                      <w:szCs w:val="21"/>
                    </w:rPr>
                    <w:t xml:space="preserve">交由资质单位处置 </w:t>
                  </w:r>
                </w:p>
              </w:tc>
            </w:tr>
          </w:tbl>
          <w:p>
            <w:pPr>
              <w:pStyle w:val="7"/>
              <w:ind w:firstLine="480" w:firstLineChars="0"/>
              <w:jc w:val="both"/>
              <w:rPr>
                <w:rFonts w:hint="default" w:ascii="Times New Roman" w:hAnsi="Times New Roman" w:cs="Times New Roman"/>
                <w:color w:val="auto"/>
              </w:rPr>
            </w:pPr>
            <w:r>
              <w:rPr>
                <w:rFonts w:hint="default" w:ascii="Times New Roman" w:hAnsi="Times New Roman" w:cs="Times New Roman"/>
                <w:color w:val="auto"/>
              </w:rPr>
              <w:t>项目固体废物治理设施见图3.1。</w:t>
            </w:r>
          </w:p>
          <w:tbl>
            <w:tblPr>
              <w:tblStyle w:val="17"/>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1"/>
              <w:gridCol w:w="3"/>
              <w:gridCol w:w="4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2" w:hRule="atLeast"/>
                <w:jc w:val="center"/>
              </w:trPr>
              <w:tc>
                <w:tcPr>
                  <w:tcW w:w="4234" w:type="dxa"/>
                  <w:gridSpan w:val="2"/>
                  <w:noWrap w:val="0"/>
                  <w:vAlign w:val="center"/>
                </w:tcPr>
                <w:p>
                  <w:pPr>
                    <w:pStyle w:val="7"/>
                    <w:widowControl w:val="0"/>
                    <w:spacing w:line="240" w:lineRule="auto"/>
                    <w:ind w:firstLine="0" w:firstLineChars="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2183130" cy="2223770"/>
                        <wp:effectExtent l="0" t="0" r="7620" b="5080"/>
                        <wp:docPr id="5" name="图片 5" descr="IMG2019071617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20190716170447"/>
                                <pic:cNvPicPr>
                                  <a:picLocks noChangeAspect="1"/>
                                </pic:cNvPicPr>
                              </pic:nvPicPr>
                              <pic:blipFill>
                                <a:blip r:embed="rId14"/>
                                <a:stretch>
                                  <a:fillRect/>
                                </a:stretch>
                              </pic:blipFill>
                              <pic:spPr>
                                <a:xfrm>
                                  <a:off x="0" y="0"/>
                                  <a:ext cx="2183130" cy="2223770"/>
                                </a:xfrm>
                                <a:prstGeom prst="rect">
                                  <a:avLst/>
                                </a:prstGeom>
                              </pic:spPr>
                            </pic:pic>
                          </a:graphicData>
                        </a:graphic>
                      </wp:inline>
                    </w:drawing>
                  </w:r>
                </w:p>
              </w:tc>
              <w:tc>
                <w:tcPr>
                  <w:tcW w:w="4062" w:type="dxa"/>
                  <w:noWrap w:val="0"/>
                  <w:vAlign w:val="center"/>
                </w:tcPr>
                <w:p>
                  <w:pPr>
                    <w:pStyle w:val="7"/>
                    <w:widowControl w:val="0"/>
                    <w:spacing w:line="240" w:lineRule="auto"/>
                    <w:ind w:firstLine="0" w:firstLineChars="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2560955" cy="2143125"/>
                        <wp:effectExtent l="0" t="0" r="10795" b="9525"/>
                        <wp:docPr id="6" name="图片 6" descr="IMG2019071617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20190716171608"/>
                                <pic:cNvPicPr>
                                  <a:picLocks noChangeAspect="1"/>
                                </pic:cNvPicPr>
                              </pic:nvPicPr>
                              <pic:blipFill>
                                <a:blip r:embed="rId15"/>
                                <a:stretch>
                                  <a:fillRect/>
                                </a:stretch>
                              </pic:blipFill>
                              <pic:spPr>
                                <a:xfrm>
                                  <a:off x="0" y="0"/>
                                  <a:ext cx="2560955" cy="21431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34" w:type="dxa"/>
                  <w:gridSpan w:val="2"/>
                  <w:noWrap w:val="0"/>
                  <w:vAlign w:val="center"/>
                </w:tcPr>
                <w:p>
                  <w:pPr>
                    <w:pStyle w:val="7"/>
                    <w:widowControl w:val="0"/>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垃圾桶</w:t>
                  </w:r>
                </w:p>
              </w:tc>
              <w:tc>
                <w:tcPr>
                  <w:tcW w:w="4062" w:type="dxa"/>
                  <w:noWrap w:val="0"/>
                  <w:vAlign w:val="center"/>
                </w:tcPr>
                <w:p>
                  <w:pPr>
                    <w:pStyle w:val="7"/>
                    <w:widowControl w:val="0"/>
                    <w:spacing w:line="240" w:lineRule="auto"/>
                    <w:ind w:firstLine="0" w:firstLineChars="0"/>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筛分固废储存间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34" w:type="dxa"/>
                  <w:gridSpan w:val="2"/>
                  <w:noWrap w:val="0"/>
                  <w:vAlign w:val="center"/>
                </w:tcPr>
                <w:p>
                  <w:pPr>
                    <w:pStyle w:val="7"/>
                    <w:widowControl w:val="0"/>
                    <w:spacing w:line="240" w:lineRule="auto"/>
                    <w:ind w:firstLine="0" w:firstLineChars="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2551430" cy="2657475"/>
                        <wp:effectExtent l="0" t="0" r="1270" b="9525"/>
                        <wp:docPr id="37" name="图片 37" descr="c4efb20ed9e192fc7413c0206d8c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4efb20ed9e192fc7413c0206d8c751"/>
                                <pic:cNvPicPr>
                                  <a:picLocks noChangeAspect="1"/>
                                </pic:cNvPicPr>
                              </pic:nvPicPr>
                              <pic:blipFill>
                                <a:blip r:embed="rId16"/>
                                <a:stretch>
                                  <a:fillRect/>
                                </a:stretch>
                              </pic:blipFill>
                              <pic:spPr>
                                <a:xfrm>
                                  <a:off x="0" y="0"/>
                                  <a:ext cx="2551430" cy="2657475"/>
                                </a:xfrm>
                                <a:prstGeom prst="rect">
                                  <a:avLst/>
                                </a:prstGeom>
                              </pic:spPr>
                            </pic:pic>
                          </a:graphicData>
                        </a:graphic>
                      </wp:inline>
                    </w:drawing>
                  </w:r>
                </w:p>
              </w:tc>
              <w:tc>
                <w:tcPr>
                  <w:tcW w:w="4062" w:type="dxa"/>
                  <w:noWrap w:val="0"/>
                  <w:vAlign w:val="center"/>
                </w:tcPr>
                <w:p>
                  <w:pPr>
                    <w:pStyle w:val="7"/>
                    <w:widowControl w:val="0"/>
                    <w:spacing w:line="240" w:lineRule="auto"/>
                    <w:ind w:firstLine="0" w:firstLineChars="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2404745" cy="2623820"/>
                        <wp:effectExtent l="0" t="0" r="14605" b="5080"/>
                        <wp:docPr id="24" name="图片 24" descr="38620dd06b65e77db427bc48e4f4b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8620dd06b65e77db427bc48e4f4b2e"/>
                                <pic:cNvPicPr>
                                  <a:picLocks noChangeAspect="1"/>
                                </pic:cNvPicPr>
                              </pic:nvPicPr>
                              <pic:blipFill>
                                <a:blip r:embed="rId17"/>
                                <a:srcRect l="2058" t="11354" r="-703" b="28113"/>
                                <a:stretch>
                                  <a:fillRect/>
                                </a:stretch>
                              </pic:blipFill>
                              <pic:spPr>
                                <a:xfrm>
                                  <a:off x="0" y="0"/>
                                  <a:ext cx="2404745" cy="26238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31" w:type="dxa"/>
                  <w:noWrap w:val="0"/>
                  <w:vAlign w:val="center"/>
                </w:tcPr>
                <w:p>
                  <w:pPr>
                    <w:pStyle w:val="7"/>
                    <w:widowControl w:val="0"/>
                    <w:spacing w:line="240" w:lineRule="auto"/>
                    <w:ind w:firstLine="0" w:firstLineChars="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2560955" cy="2461895"/>
                        <wp:effectExtent l="0" t="0" r="10795" b="14605"/>
                        <wp:docPr id="23" name="图片 23" descr="d773eb2e8074e03d66b2f55a10fe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773eb2e8074e03d66b2f55a10fe41b"/>
                                <pic:cNvPicPr>
                                  <a:picLocks noChangeAspect="1"/>
                                </pic:cNvPicPr>
                              </pic:nvPicPr>
                              <pic:blipFill>
                                <a:blip r:embed="rId18"/>
                                <a:stretch>
                                  <a:fillRect/>
                                </a:stretch>
                              </pic:blipFill>
                              <pic:spPr>
                                <a:xfrm>
                                  <a:off x="0" y="0"/>
                                  <a:ext cx="2560955" cy="2461895"/>
                                </a:xfrm>
                                <a:prstGeom prst="rect">
                                  <a:avLst/>
                                </a:prstGeom>
                              </pic:spPr>
                            </pic:pic>
                          </a:graphicData>
                        </a:graphic>
                      </wp:inline>
                    </w:drawing>
                  </w:r>
                </w:p>
              </w:tc>
              <w:tc>
                <w:tcPr>
                  <w:tcW w:w="4065" w:type="dxa"/>
                  <w:gridSpan w:val="2"/>
                  <w:noWrap w:val="0"/>
                  <w:vAlign w:val="center"/>
                </w:tcPr>
                <w:p>
                  <w:pPr>
                    <w:pStyle w:val="7"/>
                    <w:widowControl w:val="0"/>
                    <w:spacing w:line="240" w:lineRule="auto"/>
                    <w:ind w:firstLine="0" w:firstLineChars="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2441575" cy="2400300"/>
                        <wp:effectExtent l="0" t="0" r="15875" b="0"/>
                        <wp:docPr id="30" name="图片 30" descr="0e58cd126099d94547285e136eb9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e58cd126099d94547285e136eb90a2"/>
                                <pic:cNvPicPr>
                                  <a:picLocks noChangeAspect="1"/>
                                </pic:cNvPicPr>
                              </pic:nvPicPr>
                              <pic:blipFill>
                                <a:blip r:embed="rId19"/>
                                <a:stretch>
                                  <a:fillRect/>
                                </a:stretch>
                              </pic:blipFill>
                              <pic:spPr>
                                <a:xfrm>
                                  <a:off x="0" y="0"/>
                                  <a:ext cx="2441575" cy="24003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96" w:type="dxa"/>
                  <w:gridSpan w:val="3"/>
                  <w:noWrap w:val="0"/>
                  <w:vAlign w:val="center"/>
                </w:tcPr>
                <w:p>
                  <w:pPr>
                    <w:pStyle w:val="7"/>
                    <w:widowControl w:val="0"/>
                    <w:spacing w:line="240" w:lineRule="auto"/>
                    <w:ind w:firstLine="0" w:firstLineChars="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危废暂存间</w:t>
                  </w:r>
                </w:p>
              </w:tc>
            </w:tr>
          </w:tbl>
          <w:p>
            <w:pPr>
              <w:pStyle w:val="7"/>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图3.1  固体废物治理措施</w:t>
            </w:r>
          </w:p>
          <w:p>
            <w:pPr>
              <w:pStyle w:val="4"/>
              <w:ind w:left="0" w:leftChars="0"/>
              <w:rPr>
                <w:rFonts w:hint="default" w:ascii="Times New Roman" w:hAnsi="Times New Roman" w:cs="Times New Roman"/>
                <w:color w:val="auto"/>
              </w:rPr>
            </w:pPr>
            <w:bookmarkStart w:id="1" w:name="_Toc10367"/>
            <w:r>
              <w:rPr>
                <w:rFonts w:hint="default" w:ascii="Times New Roman" w:hAnsi="Times New Roman" w:cs="Times New Roman"/>
                <w:color w:val="auto"/>
                <w:lang w:val="en-US" w:eastAsia="zh-CN"/>
              </w:rPr>
              <w:t>2</w:t>
            </w:r>
            <w:r>
              <w:rPr>
                <w:rFonts w:hint="default" w:ascii="Times New Roman" w:hAnsi="Times New Roman" w:cs="Times New Roman"/>
                <w:color w:val="auto"/>
              </w:rPr>
              <w:t>、环保设施投资及“三同时”落实情况</w:t>
            </w:r>
            <w:bookmarkEnd w:id="1"/>
          </w:p>
          <w:p>
            <w:pPr>
              <w:keepNext w:val="0"/>
              <w:keepLines w:val="0"/>
              <w:pageBreakBefore w:val="0"/>
              <w:widowControl/>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项目实际总投资</w:t>
            </w:r>
            <w:r>
              <w:rPr>
                <w:rFonts w:hint="default" w:ascii="Times New Roman" w:hAnsi="Times New Roman" w:cs="Times New Roman"/>
                <w:color w:val="auto"/>
                <w:lang w:val="en-US" w:eastAsia="zh-CN"/>
              </w:rPr>
              <w:t>1000</w:t>
            </w:r>
            <w:r>
              <w:rPr>
                <w:rFonts w:hint="default" w:ascii="Times New Roman" w:hAnsi="Times New Roman" w:cs="Times New Roman"/>
                <w:color w:val="auto"/>
              </w:rPr>
              <w:t>万元，</w:t>
            </w:r>
            <w:r>
              <w:rPr>
                <w:rFonts w:hint="default" w:ascii="Times New Roman" w:hAnsi="Times New Roman" w:cs="Times New Roman"/>
                <w:color w:val="auto"/>
                <w:lang w:eastAsia="zh-CN"/>
              </w:rPr>
              <w:t>实际环保投资</w:t>
            </w:r>
            <w:r>
              <w:rPr>
                <w:rFonts w:hint="default" w:ascii="Times New Roman" w:hAnsi="Times New Roman" w:cs="Times New Roman"/>
                <w:color w:val="auto"/>
                <w:lang w:val="en-US" w:eastAsia="zh-CN"/>
              </w:rPr>
              <w:t>160.5万元，</w:t>
            </w:r>
            <w:r>
              <w:rPr>
                <w:rFonts w:hint="default" w:ascii="Times New Roman" w:hAnsi="Times New Roman" w:cs="Times New Roman"/>
                <w:color w:val="auto"/>
              </w:rPr>
              <w:t>其中废水、废气、噪声实际环保投资</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3</w:t>
            </w:r>
            <w:r>
              <w:rPr>
                <w:rFonts w:hint="default" w:ascii="Times New Roman" w:hAnsi="Times New Roman" w:cs="Times New Roman"/>
                <w:color w:val="auto"/>
              </w:rPr>
              <w:t>万元，占总</w:t>
            </w:r>
            <w:r>
              <w:rPr>
                <w:rFonts w:hint="default" w:ascii="Times New Roman" w:hAnsi="Times New Roman" w:cs="Times New Roman"/>
                <w:color w:val="auto"/>
                <w:lang w:eastAsia="zh-CN"/>
              </w:rPr>
              <w:t>环保</w:t>
            </w:r>
            <w:r>
              <w:rPr>
                <w:rFonts w:hint="default" w:ascii="Times New Roman" w:hAnsi="Times New Roman" w:cs="Times New Roman"/>
                <w:color w:val="auto"/>
              </w:rPr>
              <w:t>投资的</w:t>
            </w:r>
            <w:r>
              <w:rPr>
                <w:rFonts w:hint="eastAsia" w:ascii="Times New Roman" w:hAnsi="Times New Roman" w:cs="Times New Roman"/>
                <w:color w:val="auto"/>
                <w:lang w:val="en-US" w:eastAsia="zh-CN"/>
              </w:rPr>
              <w:t>89.1</w:t>
            </w:r>
            <w:r>
              <w:rPr>
                <w:rFonts w:hint="default" w:ascii="Times New Roman" w:hAnsi="Times New Roman" w:cs="Times New Roman"/>
                <w:color w:val="auto"/>
              </w:rPr>
              <w:t>%</w:t>
            </w:r>
            <w:r>
              <w:rPr>
                <w:rFonts w:hint="eastAsia" w:cs="Times New Roman"/>
                <w:color w:val="auto"/>
                <w:lang w:eastAsia="zh-CN"/>
              </w:rPr>
              <w:t>；</w:t>
            </w:r>
            <w:r>
              <w:rPr>
                <w:rFonts w:hint="default" w:ascii="Times New Roman" w:hAnsi="Times New Roman" w:cs="Times New Roman"/>
                <w:color w:val="auto"/>
              </w:rPr>
              <w:t>固废环保投资</w:t>
            </w:r>
            <w:r>
              <w:rPr>
                <w:rFonts w:hint="default" w:ascii="Times New Roman" w:hAnsi="Times New Roman" w:cs="Times New Roman"/>
                <w:color w:val="auto"/>
                <w:lang w:val="en-US" w:eastAsia="zh-CN"/>
              </w:rPr>
              <w:t>7.5</w:t>
            </w:r>
            <w:r>
              <w:rPr>
                <w:rFonts w:hint="default" w:ascii="Times New Roman" w:hAnsi="Times New Roman" w:cs="Times New Roman"/>
                <w:color w:val="auto"/>
              </w:rPr>
              <w:t>万元，占总</w:t>
            </w:r>
            <w:r>
              <w:rPr>
                <w:rFonts w:hint="default" w:ascii="Times New Roman" w:hAnsi="Times New Roman" w:cs="Times New Roman"/>
                <w:color w:val="auto"/>
                <w:lang w:eastAsia="zh-CN"/>
              </w:rPr>
              <w:t>环保</w:t>
            </w:r>
            <w:r>
              <w:rPr>
                <w:rFonts w:hint="default" w:ascii="Times New Roman" w:hAnsi="Times New Roman" w:cs="Times New Roman"/>
                <w:color w:val="auto"/>
              </w:rPr>
              <w:t>投资的</w:t>
            </w:r>
            <w:r>
              <w:rPr>
                <w:rFonts w:hint="default" w:ascii="Times New Roman" w:hAnsi="Times New Roman" w:cs="Times New Roman"/>
                <w:color w:val="auto"/>
                <w:lang w:val="en-US" w:eastAsia="zh-CN"/>
              </w:rPr>
              <w:t>4.7</w:t>
            </w:r>
            <w:r>
              <w:rPr>
                <w:rFonts w:hint="default" w:ascii="Times New Roman" w:hAnsi="Times New Roman" w:cs="Times New Roman"/>
                <w:color w:val="auto"/>
              </w:rPr>
              <w:t>%</w:t>
            </w:r>
            <w:r>
              <w:rPr>
                <w:rFonts w:hint="eastAsia" w:cs="Times New Roman"/>
                <w:color w:val="auto"/>
                <w:lang w:eastAsia="zh-CN"/>
              </w:rPr>
              <w:t>；其他环保投资</w:t>
            </w:r>
            <w:r>
              <w:rPr>
                <w:rFonts w:hint="eastAsia" w:cs="Times New Roman"/>
                <w:color w:val="auto"/>
                <w:lang w:val="en-US" w:eastAsia="zh-CN"/>
              </w:rPr>
              <w:t>10万元，</w:t>
            </w:r>
            <w:r>
              <w:rPr>
                <w:rFonts w:hint="default" w:ascii="Times New Roman" w:hAnsi="Times New Roman" w:cs="Times New Roman"/>
                <w:color w:val="auto"/>
              </w:rPr>
              <w:t>占总</w:t>
            </w:r>
            <w:r>
              <w:rPr>
                <w:rFonts w:hint="default" w:ascii="Times New Roman" w:hAnsi="Times New Roman" w:cs="Times New Roman"/>
                <w:color w:val="auto"/>
                <w:lang w:eastAsia="zh-CN"/>
              </w:rPr>
              <w:t>环保</w:t>
            </w:r>
            <w:r>
              <w:rPr>
                <w:rFonts w:hint="default" w:ascii="Times New Roman" w:hAnsi="Times New Roman" w:cs="Times New Roman"/>
                <w:color w:val="auto"/>
              </w:rPr>
              <w:t>投资的</w:t>
            </w:r>
            <w:r>
              <w:rPr>
                <w:rFonts w:hint="eastAsia" w:cs="Times New Roman"/>
                <w:color w:val="auto"/>
                <w:lang w:val="en-US" w:eastAsia="zh-CN"/>
              </w:rPr>
              <w:t>6.2</w:t>
            </w:r>
            <w:r>
              <w:rPr>
                <w:rFonts w:hint="default" w:ascii="Times New Roman" w:hAnsi="Times New Roman" w:cs="Times New Roman"/>
                <w:color w:val="auto"/>
              </w:rPr>
              <w:t>%</w:t>
            </w:r>
            <w:r>
              <w:rPr>
                <w:rFonts w:hint="eastAsia" w:ascii="Times New Roman" w:hAnsi="Times New Roman" w:cs="Times New Roman"/>
                <w:color w:val="auto"/>
                <w:lang w:eastAsia="zh-CN"/>
              </w:rPr>
              <w:t>。</w:t>
            </w:r>
            <w:r>
              <w:rPr>
                <w:rFonts w:hint="default" w:ascii="Times New Roman" w:hAnsi="Times New Roman" w:cs="Times New Roman"/>
                <w:color w:val="auto"/>
              </w:rPr>
              <w:t>项目环保投资实际情况见表3-2。</w:t>
            </w:r>
          </w:p>
          <w:p>
            <w:pPr>
              <w:jc w:val="center"/>
              <w:rPr>
                <w:rFonts w:hint="default" w:ascii="Times New Roman" w:hAnsi="Times New Roman" w:cs="Times New Roman"/>
                <w:b/>
                <w:bCs/>
                <w:color w:val="auto"/>
              </w:rPr>
            </w:pPr>
            <w:r>
              <w:rPr>
                <w:rFonts w:hint="default" w:ascii="Times New Roman" w:hAnsi="Times New Roman" w:cs="Times New Roman"/>
                <w:b/>
                <w:bCs/>
                <w:color w:val="auto"/>
              </w:rPr>
              <w:t>表3-2  项目实际投资环保情况</w:t>
            </w:r>
          </w:p>
          <w:tbl>
            <w:tblPr>
              <w:tblStyle w:val="17"/>
              <w:tblW w:w="8291" w:type="dxa"/>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1"/>
              <w:gridCol w:w="2179"/>
              <w:gridCol w:w="1527"/>
              <w:gridCol w:w="2408"/>
              <w:gridCol w:w="14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2910" w:type="dxa"/>
                  <w:gridSpan w:val="2"/>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1527"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实际环保投资</w:t>
                  </w:r>
                </w:p>
                <w:p>
                  <w:pPr>
                    <w:pStyle w:val="7"/>
                    <w:widowControl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（万元）</w:t>
                  </w:r>
                </w:p>
              </w:tc>
              <w:tc>
                <w:tcPr>
                  <w:tcW w:w="2408"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实际环保投资（万元）</w:t>
                  </w:r>
                </w:p>
              </w:tc>
              <w:tc>
                <w:tcPr>
                  <w:tcW w:w="1446"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占总</w:t>
                  </w:r>
                  <w:r>
                    <w:rPr>
                      <w:rFonts w:hint="default" w:ascii="Times New Roman" w:hAnsi="Times New Roman" w:cs="Times New Roman"/>
                      <w:b/>
                      <w:bCs/>
                      <w:color w:val="auto"/>
                      <w:sz w:val="21"/>
                      <w:szCs w:val="21"/>
                      <w:lang w:eastAsia="zh-CN"/>
                    </w:rPr>
                    <w:t>环保</w:t>
                  </w:r>
                  <w:r>
                    <w:rPr>
                      <w:rFonts w:hint="default" w:ascii="Times New Roman" w:hAnsi="Times New Roman" w:cs="Times New Roman"/>
                      <w:b/>
                      <w:bCs/>
                      <w:color w:val="auto"/>
                      <w:sz w:val="21"/>
                      <w:szCs w:val="21"/>
                    </w:rPr>
                    <w:t>投资比例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31" w:type="dxa"/>
                  <w:vMerge w:val="restart"/>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2179"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三级</w:t>
                  </w:r>
                  <w:r>
                    <w:rPr>
                      <w:rFonts w:hint="default" w:ascii="Times New Roman" w:hAnsi="Times New Roman" w:cs="Times New Roman"/>
                      <w:color w:val="auto"/>
                      <w:sz w:val="21"/>
                      <w:szCs w:val="21"/>
                    </w:rPr>
                    <w:t>沉淀池</w:t>
                  </w:r>
                </w:p>
              </w:tc>
              <w:tc>
                <w:tcPr>
                  <w:tcW w:w="1527"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w:t>
                  </w:r>
                </w:p>
              </w:tc>
              <w:tc>
                <w:tcPr>
                  <w:tcW w:w="2408" w:type="dxa"/>
                  <w:vMerge w:val="restart"/>
                  <w:tcBorders>
                    <w:tl2br w:val="nil"/>
                    <w:tr2bl w:val="nil"/>
                  </w:tcBorders>
                  <w:vAlign w:val="center"/>
                </w:tcPr>
                <w:p>
                  <w:pPr>
                    <w:pStyle w:val="7"/>
                    <w:widowControl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160.5</w:t>
                  </w:r>
                </w:p>
              </w:tc>
              <w:tc>
                <w:tcPr>
                  <w:tcW w:w="1446" w:type="dxa"/>
                  <w:vMerge w:val="restart"/>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89.1</w:t>
                  </w:r>
                  <w:r>
                    <w:rPr>
                      <w:rFonts w:hint="default" w:ascii="Times New Roman" w:hAnsi="Times New Roman"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31"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2179"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搅拌池</w:t>
                  </w:r>
                </w:p>
              </w:tc>
              <w:tc>
                <w:tcPr>
                  <w:tcW w:w="1527"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2408"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1446"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31"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2179"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隔油池</w:t>
                  </w:r>
                </w:p>
              </w:tc>
              <w:tc>
                <w:tcPr>
                  <w:tcW w:w="1527"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2408"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1446"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31"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2179"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化粪池</w:t>
                  </w:r>
                </w:p>
              </w:tc>
              <w:tc>
                <w:tcPr>
                  <w:tcW w:w="1527" w:type="dxa"/>
                  <w:vMerge w:val="restart"/>
                  <w:tcBorders>
                    <w:tl2br w:val="nil"/>
                    <w:tr2bl w:val="nil"/>
                  </w:tcBorders>
                  <w:vAlign w:val="center"/>
                </w:tcPr>
                <w:p>
                  <w:pPr>
                    <w:pStyle w:val="7"/>
                    <w:widowControl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依托</w:t>
                  </w:r>
                </w:p>
              </w:tc>
              <w:tc>
                <w:tcPr>
                  <w:tcW w:w="2408"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1446"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31"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2179"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一体化污水处理设备</w:t>
                  </w:r>
                </w:p>
              </w:tc>
              <w:tc>
                <w:tcPr>
                  <w:tcW w:w="1527"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2408"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1446"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31"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2179"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储水池</w:t>
                  </w:r>
                </w:p>
              </w:tc>
              <w:tc>
                <w:tcPr>
                  <w:tcW w:w="1527"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2408"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1446"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31" w:type="dxa"/>
                  <w:vMerge w:val="restart"/>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2179"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全密闭棚</w:t>
                  </w:r>
                </w:p>
              </w:tc>
              <w:tc>
                <w:tcPr>
                  <w:tcW w:w="1527"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80</w:t>
                  </w:r>
                </w:p>
              </w:tc>
              <w:tc>
                <w:tcPr>
                  <w:tcW w:w="2408"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1446"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31"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2179"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喷淋装置</w:t>
                  </w:r>
                </w:p>
              </w:tc>
              <w:tc>
                <w:tcPr>
                  <w:tcW w:w="1527"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2408"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1446"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31"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2179"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仓顶脉冲除尘器</w:t>
                  </w:r>
                </w:p>
              </w:tc>
              <w:tc>
                <w:tcPr>
                  <w:tcW w:w="1527"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2408"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1446"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31"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2179"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密闭</w:t>
                  </w:r>
                  <w:r>
                    <w:rPr>
                      <w:rFonts w:hint="default" w:ascii="Times New Roman" w:hAnsi="Times New Roman" w:cs="Times New Roman"/>
                      <w:color w:val="auto"/>
                      <w:sz w:val="21"/>
                      <w:szCs w:val="21"/>
                      <w:lang w:eastAsia="zh-CN"/>
                    </w:rPr>
                    <w:t>搅拌</w:t>
                  </w:r>
                  <w:r>
                    <w:rPr>
                      <w:rFonts w:hint="eastAsia" w:cs="Times New Roman"/>
                      <w:color w:val="auto"/>
                      <w:sz w:val="21"/>
                      <w:szCs w:val="21"/>
                      <w:lang w:eastAsia="zh-CN"/>
                    </w:rPr>
                    <w:t>楼</w:t>
                  </w:r>
                </w:p>
              </w:tc>
              <w:tc>
                <w:tcPr>
                  <w:tcW w:w="1527"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2408"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1446"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31"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2179"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食堂油烟</w:t>
                  </w:r>
                </w:p>
              </w:tc>
              <w:tc>
                <w:tcPr>
                  <w:tcW w:w="1527"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1</w:t>
                  </w:r>
                </w:p>
              </w:tc>
              <w:tc>
                <w:tcPr>
                  <w:tcW w:w="2408"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1446"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31"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2179"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岩棉板墙</w:t>
                  </w:r>
                  <w:r>
                    <w:rPr>
                      <w:rFonts w:hint="default" w:ascii="Times New Roman" w:hAnsi="Times New Roman" w:cs="Times New Roman"/>
                      <w:color w:val="auto"/>
                      <w:sz w:val="21"/>
                      <w:szCs w:val="21"/>
                    </w:rPr>
                    <w:t>、减振基础</w:t>
                  </w:r>
                </w:p>
              </w:tc>
              <w:tc>
                <w:tcPr>
                  <w:tcW w:w="1527"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0</w:t>
                  </w:r>
                </w:p>
              </w:tc>
              <w:tc>
                <w:tcPr>
                  <w:tcW w:w="2408"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1446"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31" w:type="dxa"/>
                  <w:vMerge w:val="restart"/>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2179"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垃圾桶</w:t>
                  </w:r>
                </w:p>
              </w:tc>
              <w:tc>
                <w:tcPr>
                  <w:tcW w:w="1527"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w:t>
                  </w:r>
                </w:p>
              </w:tc>
              <w:tc>
                <w:tcPr>
                  <w:tcW w:w="2408"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1446" w:type="dxa"/>
                  <w:vMerge w:val="restart"/>
                  <w:tcBorders>
                    <w:tl2br w:val="nil"/>
                    <w:tr2bl w:val="nil"/>
                  </w:tcBorders>
                  <w:vAlign w:val="center"/>
                </w:tcPr>
                <w:p>
                  <w:pPr>
                    <w:pStyle w:val="7"/>
                    <w:widowControl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31"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2179"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废砂石间，垃圾清运</w:t>
                  </w:r>
                </w:p>
              </w:tc>
              <w:tc>
                <w:tcPr>
                  <w:tcW w:w="1527"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2408"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1446"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31"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2179"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危废暂存间</w:t>
                  </w:r>
                </w:p>
              </w:tc>
              <w:tc>
                <w:tcPr>
                  <w:tcW w:w="1527"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2408"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1446"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2910" w:type="dxa"/>
                  <w:gridSpan w:val="2"/>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绿化</w:t>
                  </w:r>
                </w:p>
              </w:tc>
              <w:tc>
                <w:tcPr>
                  <w:tcW w:w="1527"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2408" w:type="dxa"/>
                  <w:vMerge w:val="continue"/>
                  <w:tcBorders>
                    <w:tl2br w:val="nil"/>
                    <w:tr2bl w:val="nil"/>
                  </w:tcBorders>
                  <w:vAlign w:val="center"/>
                </w:tcPr>
                <w:p>
                  <w:pPr>
                    <w:pStyle w:val="7"/>
                    <w:widowControl w:val="0"/>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446" w:type="dxa"/>
                  <w:tcBorders>
                    <w:tl2br w:val="nil"/>
                    <w:tr2bl w:val="nil"/>
                  </w:tcBorders>
                  <w:vAlign w:val="center"/>
                </w:tcPr>
                <w:p>
                  <w:pPr>
                    <w:pStyle w:val="7"/>
                    <w:widowControl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6.2%</w:t>
                  </w:r>
                </w:p>
              </w:tc>
            </w:tr>
          </w:tbl>
          <w:p>
            <w:pPr>
              <w:pStyle w:val="2"/>
              <w:spacing w:before="156" w:after="156"/>
              <w:ind w:firstLine="480" w:firstLineChars="200"/>
              <w:jc w:val="both"/>
              <w:rPr>
                <w:rFonts w:hint="default" w:ascii="Times New Roman" w:hAnsi="Times New Roman" w:cs="Times New Roman"/>
                <w:b w:val="0"/>
                <w:color w:val="auto"/>
                <w:sz w:val="24"/>
                <w:szCs w:val="22"/>
                <w:lang w:val="en-US" w:eastAsia="zh-CN"/>
              </w:rPr>
            </w:pPr>
            <w:r>
              <w:rPr>
                <w:rFonts w:hint="default" w:ascii="Times New Roman" w:hAnsi="Times New Roman" w:cs="Times New Roman"/>
                <w:b w:val="0"/>
                <w:color w:val="auto"/>
                <w:sz w:val="24"/>
                <w:szCs w:val="22"/>
                <w:lang w:val="en-US" w:eastAsia="zh-CN"/>
              </w:rPr>
              <w:t>项目施工过程中环保设施与主体工程同时设计、同时施工、同时投产使用，严格执行“三同时”制度。项目环保设施环评、实际建设情况见下表3-3。</w:t>
            </w:r>
          </w:p>
          <w:p>
            <w:pPr>
              <w:pStyle w:val="7"/>
              <w:ind w:firstLine="480" w:firstLineChars="0"/>
              <w:jc w:val="center"/>
              <w:rPr>
                <w:rFonts w:hint="default" w:ascii="Times New Roman" w:hAnsi="Times New Roman" w:cs="Times New Roman"/>
                <w:color w:val="auto"/>
                <w:szCs w:val="24"/>
              </w:rPr>
            </w:pPr>
            <w:r>
              <w:rPr>
                <w:rFonts w:hint="default" w:ascii="Times New Roman" w:hAnsi="Times New Roman" w:cs="Times New Roman"/>
                <w:b/>
                <w:bCs/>
                <w:color w:val="auto"/>
              </w:rPr>
              <w:t>表3-3  项目环保设施环评、实际建设情况对比表</w:t>
            </w:r>
          </w:p>
          <w:tbl>
            <w:tblPr>
              <w:tblStyle w:val="17"/>
              <w:tblW w:w="8291" w:type="dxa"/>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3"/>
              <w:gridCol w:w="3476"/>
              <w:gridCol w:w="3092"/>
              <w:gridCol w:w="9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763" w:type="dxa"/>
                  <w:noWrap w:val="0"/>
                  <w:vAlign w:val="center"/>
                </w:tcPr>
                <w:p>
                  <w:pPr>
                    <w:pStyle w:val="7"/>
                    <w:widowControl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3476" w:type="dxa"/>
                  <w:noWrap w:val="0"/>
                  <w:vAlign w:val="center"/>
                </w:tcPr>
                <w:p>
                  <w:pPr>
                    <w:pStyle w:val="7"/>
                    <w:widowControl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环评要求环保设施</w:t>
                  </w:r>
                </w:p>
              </w:tc>
              <w:tc>
                <w:tcPr>
                  <w:tcW w:w="3092" w:type="dxa"/>
                  <w:noWrap w:val="0"/>
                  <w:vAlign w:val="center"/>
                </w:tcPr>
                <w:p>
                  <w:pPr>
                    <w:pStyle w:val="7"/>
                    <w:widowControl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设施与措施实际实施情况</w:t>
                  </w:r>
                </w:p>
              </w:tc>
              <w:tc>
                <w:tcPr>
                  <w:tcW w:w="960" w:type="dxa"/>
                  <w:noWrap w:val="0"/>
                  <w:vAlign w:val="center"/>
                </w:tcPr>
                <w:p>
                  <w:pPr>
                    <w:pStyle w:val="7"/>
                    <w:widowControl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一致性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763" w:type="dxa"/>
                  <w:vMerge w:val="restart"/>
                  <w:noWrap w:val="0"/>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3476" w:type="dxa"/>
                  <w:noWrap w:val="0"/>
                  <w:vAlign w:val="center"/>
                </w:tcPr>
                <w:p>
                  <w:pPr>
                    <w:spacing w:line="240" w:lineRule="auto"/>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厂区设垃圾桶，将生活垃圾集中收集后送至当地环卫部门指定堆存地点</w:t>
                  </w:r>
                </w:p>
              </w:tc>
              <w:tc>
                <w:tcPr>
                  <w:tcW w:w="3092" w:type="dxa"/>
                  <w:noWrap w:val="0"/>
                  <w:vAlign w:val="center"/>
                </w:tcPr>
                <w:p>
                  <w:pPr>
                    <w:spacing w:line="240" w:lineRule="auto"/>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厂区设垃圾桶，将生活垃圾集中收集后送至当地环卫部门指定堆存地点</w:t>
                  </w:r>
                </w:p>
              </w:tc>
              <w:tc>
                <w:tcPr>
                  <w:tcW w:w="960" w:type="dxa"/>
                  <w:noWrap w:val="0"/>
                  <w:vAlign w:val="center"/>
                </w:tcPr>
                <w:p>
                  <w:pPr>
                    <w:pStyle w:val="7"/>
                    <w:widowControl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763" w:type="dxa"/>
                  <w:vMerge w:val="continue"/>
                  <w:noWrap w:val="0"/>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3476" w:type="dxa"/>
                  <w:noWrap w:val="0"/>
                  <w:vAlign w:val="center"/>
                </w:tcPr>
                <w:p>
                  <w:pPr>
                    <w:spacing w:line="240" w:lineRule="auto"/>
                    <w:jc w:val="both"/>
                    <w:rPr>
                      <w:rFonts w:hint="default" w:ascii="Times New Roman" w:hAnsi="Times New Roman" w:cs="Times New Roman"/>
                      <w:color w:val="auto"/>
                      <w:sz w:val="21"/>
                      <w:szCs w:val="21"/>
                    </w:rPr>
                  </w:pPr>
                  <w:r>
                    <w:rPr>
                      <w:rFonts w:hint="default" w:ascii="Times New Roman" w:hAnsi="Times New Roman" w:cs="Times New Roman"/>
                      <w:bCs w:val="0"/>
                      <w:color w:val="auto"/>
                      <w:sz w:val="21"/>
                      <w:szCs w:val="21"/>
                      <w:lang w:eastAsia="zh-CN"/>
                    </w:rPr>
                    <w:t>除尘装置收集粉尘均回用于生产，综合利用</w:t>
                  </w:r>
                </w:p>
              </w:tc>
              <w:tc>
                <w:tcPr>
                  <w:tcW w:w="3092" w:type="dxa"/>
                  <w:noWrap w:val="0"/>
                  <w:vAlign w:val="center"/>
                </w:tcPr>
                <w:p>
                  <w:pPr>
                    <w:spacing w:line="240" w:lineRule="auto"/>
                    <w:jc w:val="both"/>
                    <w:rPr>
                      <w:rFonts w:hint="default" w:ascii="Times New Roman" w:hAnsi="Times New Roman" w:cs="Times New Roman"/>
                      <w:color w:val="auto"/>
                      <w:sz w:val="21"/>
                      <w:szCs w:val="21"/>
                    </w:rPr>
                  </w:pPr>
                  <w:r>
                    <w:rPr>
                      <w:rFonts w:hint="default" w:ascii="Times New Roman" w:hAnsi="Times New Roman" w:cs="Times New Roman"/>
                      <w:bCs w:val="0"/>
                      <w:color w:val="auto"/>
                      <w:sz w:val="21"/>
                      <w:szCs w:val="21"/>
                      <w:lang w:eastAsia="zh-CN"/>
                    </w:rPr>
                    <w:t>除尘装置收集粉尘均回用于生产，综合利用</w:t>
                  </w:r>
                </w:p>
              </w:tc>
              <w:tc>
                <w:tcPr>
                  <w:tcW w:w="960" w:type="dxa"/>
                  <w:noWrap w:val="0"/>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763" w:type="dxa"/>
                  <w:vMerge w:val="continue"/>
                  <w:noWrap w:val="0"/>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3476" w:type="dxa"/>
                  <w:noWrap w:val="0"/>
                  <w:vAlign w:val="center"/>
                </w:tcPr>
                <w:p>
                  <w:pPr>
                    <w:spacing w:line="240" w:lineRule="auto"/>
                    <w:jc w:val="both"/>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三级沉淀池底泥（废混凝土）晾干后作为道路铺设材料出售；</w:t>
                  </w:r>
                </w:p>
              </w:tc>
              <w:tc>
                <w:tcPr>
                  <w:tcW w:w="3092" w:type="dxa"/>
                  <w:noWrap w:val="0"/>
                  <w:vAlign w:val="center"/>
                </w:tcPr>
                <w:p>
                  <w:pPr>
                    <w:spacing w:line="240" w:lineRule="auto"/>
                    <w:jc w:val="both"/>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改为搅拌池，回用于生产，无固废排放</w:t>
                  </w:r>
                </w:p>
              </w:tc>
              <w:tc>
                <w:tcPr>
                  <w:tcW w:w="960" w:type="dxa"/>
                  <w:noWrap w:val="0"/>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763" w:type="dxa"/>
                  <w:vMerge w:val="continue"/>
                  <w:noWrap w:val="0"/>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3476" w:type="dxa"/>
                  <w:noWrap w:val="0"/>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3092" w:type="dxa"/>
                  <w:noWrap w:val="0"/>
                  <w:vAlign w:val="center"/>
                </w:tcPr>
                <w:p>
                  <w:pPr>
                    <w:spacing w:line="240" w:lineRule="auto"/>
                    <w:jc w:val="both"/>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筛砂机、砂石分离器筛分出来的废砂石暂存于筛分固废储存间，由</w:t>
                  </w:r>
                  <w:r>
                    <w:rPr>
                      <w:rFonts w:hint="default" w:ascii="Times New Roman" w:hAnsi="Times New Roman" w:cs="Times New Roman"/>
                      <w:bCs w:val="0"/>
                      <w:color w:val="auto"/>
                      <w:sz w:val="21"/>
                      <w:szCs w:val="21"/>
                    </w:rPr>
                    <w:t>西咸新区江源保洁服务公司运至合法垃圾处理厂</w:t>
                  </w:r>
                </w:p>
              </w:tc>
              <w:tc>
                <w:tcPr>
                  <w:tcW w:w="960" w:type="dxa"/>
                  <w:noWrap w:val="0"/>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763" w:type="dxa"/>
                  <w:vMerge w:val="continue"/>
                  <w:noWrap w:val="0"/>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p>
              </w:tc>
              <w:tc>
                <w:tcPr>
                  <w:tcW w:w="3476" w:type="dxa"/>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设备维护工序产生的废机油和擦油抹布送危废处置资质单位处理，不外排</w:t>
                  </w:r>
                </w:p>
              </w:tc>
              <w:tc>
                <w:tcPr>
                  <w:tcW w:w="3092" w:type="dxa"/>
                  <w:noWrap w:val="0"/>
                  <w:vAlign w:val="center"/>
                </w:tcPr>
                <w:p>
                  <w:pPr>
                    <w:spacing w:line="240" w:lineRule="auto"/>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设备维护工序产生的废机油和擦油抹布送危废处置资质单位处理，不外排</w:t>
                  </w:r>
                </w:p>
              </w:tc>
              <w:tc>
                <w:tcPr>
                  <w:tcW w:w="960" w:type="dxa"/>
                  <w:noWrap w:val="0"/>
                  <w:vAlign w:val="center"/>
                </w:tcPr>
                <w:p>
                  <w:pPr>
                    <w:pStyle w:val="7"/>
                    <w:widowControl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一致</w:t>
                  </w:r>
                </w:p>
              </w:tc>
            </w:tr>
          </w:tbl>
          <w:p>
            <w:pPr>
              <w:pStyle w:val="2"/>
              <w:rPr>
                <w:rFonts w:hint="default" w:ascii="Times New Roman" w:hAnsi="Times New Roman" w:cs="Times New Roman"/>
                <w:color w:val="auto"/>
              </w:rPr>
            </w:pPr>
          </w:p>
        </w:tc>
      </w:tr>
    </w:tbl>
    <w:p>
      <w:pPr>
        <w:rPr>
          <w:rFonts w:hint="default" w:ascii="Times New Roman" w:hAnsi="Times New Roman" w:cs="Times New Roman"/>
          <w:b/>
          <w:color w:val="auto"/>
          <w:szCs w:val="24"/>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rPr>
          <w:rFonts w:hint="default" w:ascii="Times New Roman" w:hAnsi="Times New Roman" w:eastAsia="仿宋_GB2312" w:cs="Times New Roman"/>
          <w:b/>
          <w:color w:val="auto"/>
          <w:sz w:val="28"/>
          <w:szCs w:val="28"/>
        </w:rPr>
      </w:pPr>
      <w:r>
        <w:rPr>
          <w:rFonts w:hint="default" w:ascii="Times New Roman" w:hAnsi="Times New Roman" w:eastAsia="仿宋_GB2312" w:cs="Times New Roman"/>
          <w:b/>
          <w:color w:val="auto"/>
          <w:sz w:val="28"/>
          <w:szCs w:val="28"/>
        </w:rPr>
        <w:t>表四</w:t>
      </w:r>
    </w:p>
    <w:tbl>
      <w:tblPr>
        <w:tblStyle w:val="17"/>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011" w:hRule="atLeast"/>
          <w:jc w:val="center"/>
        </w:trPr>
        <w:tc>
          <w:tcPr>
            <w:tcW w:w="8522" w:type="dxa"/>
            <w:vAlign w:val="top"/>
          </w:tcPr>
          <w:p>
            <w:pPr>
              <w:jc w:val="both"/>
              <w:rPr>
                <w:rFonts w:hint="default" w:ascii="Times New Roman" w:hAnsi="Times New Roman" w:cs="Times New Roman"/>
                <w:b/>
                <w:bCs/>
                <w:color w:val="auto"/>
                <w:szCs w:val="24"/>
              </w:rPr>
            </w:pPr>
            <w:r>
              <w:rPr>
                <w:rFonts w:hint="default" w:ascii="Times New Roman" w:hAnsi="Times New Roman" w:cs="Times New Roman"/>
                <w:b/>
                <w:bCs/>
                <w:color w:val="auto"/>
                <w:szCs w:val="24"/>
              </w:rPr>
              <w:t>建设项目环境影响报告表主要结论及审批部门审批决定：</w:t>
            </w:r>
          </w:p>
          <w:p>
            <w:pPr>
              <w:jc w:val="both"/>
              <w:rPr>
                <w:rFonts w:hint="default" w:ascii="Times New Roman" w:hAnsi="Times New Roman" w:cs="Times New Roman"/>
                <w:b/>
                <w:bCs/>
                <w:color w:val="auto"/>
                <w:szCs w:val="24"/>
              </w:rPr>
            </w:pPr>
            <w:r>
              <w:rPr>
                <w:rFonts w:hint="default" w:ascii="Times New Roman" w:hAnsi="Times New Roman" w:cs="Times New Roman"/>
                <w:b/>
                <w:bCs/>
                <w:color w:val="auto"/>
                <w:szCs w:val="24"/>
              </w:rPr>
              <w:t>1、</w:t>
            </w:r>
            <w:r>
              <w:rPr>
                <w:rFonts w:hint="default" w:ascii="Times New Roman" w:hAnsi="Times New Roman" w:cs="Times New Roman"/>
                <w:b/>
                <w:bCs/>
                <w:color w:val="auto"/>
                <w:kern w:val="2"/>
                <w:szCs w:val="24"/>
              </w:rPr>
              <w:t>项目环境影响评价报告表主要结论</w:t>
            </w:r>
          </w:p>
          <w:p>
            <w:pPr>
              <w:ind w:firstLine="482" w:firstLineChars="200"/>
              <w:jc w:val="both"/>
              <w:rPr>
                <w:rFonts w:hint="default" w:ascii="Times New Roman" w:hAnsi="Times New Roman" w:cs="Times New Roman"/>
                <w:color w:val="auto"/>
              </w:rPr>
            </w:pPr>
            <w:r>
              <w:rPr>
                <w:rFonts w:hint="default" w:ascii="Times New Roman" w:hAnsi="Times New Roman" w:cs="Times New Roman"/>
                <w:b/>
                <w:color w:val="auto"/>
              </w:rPr>
              <w:t>项目环境影响评价报告表总结论：</w:t>
            </w:r>
            <w:r>
              <w:rPr>
                <w:rFonts w:hint="default" w:ascii="Times New Roman" w:hAnsi="Times New Roman" w:cs="Times New Roman"/>
                <w:b w:val="0"/>
                <w:bCs/>
                <w:color w:val="auto"/>
                <w:lang w:eastAsia="zh-CN"/>
              </w:rPr>
              <w:t>评价认为，本项目产生的污染因素单一，污染物排放量不大，项目在采取设计及环评报告提出的各项污染防治措施后，产生的污染物可实现达标排放，可减小建设项目对环境产生的影响，从环境保护角度分析，项目建设可行</w:t>
            </w:r>
            <w:r>
              <w:rPr>
                <w:rFonts w:hint="default" w:ascii="Times New Roman" w:hAnsi="Times New Roman" w:cs="Times New Roman"/>
                <w:color w:val="auto"/>
              </w:rPr>
              <w:t>。</w:t>
            </w:r>
          </w:p>
          <w:p>
            <w:pPr>
              <w:pStyle w:val="30"/>
              <w:shd w:val="clear" w:color="auto" w:fill="auto"/>
              <w:spacing w:line="360" w:lineRule="auto"/>
              <w:ind w:firstLine="480"/>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项目环境影响评价报告表中对固废污染防治设施效果的要求见表4-1。</w:t>
            </w:r>
          </w:p>
          <w:p>
            <w:pPr>
              <w:pStyle w:val="30"/>
              <w:shd w:val="clear" w:color="auto" w:fill="auto"/>
              <w:spacing w:line="360" w:lineRule="auto"/>
              <w:ind w:firstLine="48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表4-1   项目污染防治设施效果要求一览表</w:t>
            </w:r>
          </w:p>
          <w:tbl>
            <w:tblPr>
              <w:tblStyle w:val="17"/>
              <w:tblW w:w="830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7"/>
              <w:gridCol w:w="2316"/>
              <w:gridCol w:w="2414"/>
              <w:gridCol w:w="27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97" w:type="dxa"/>
                  <w:vAlign w:val="center"/>
                </w:tcPr>
                <w:p>
                  <w:pPr>
                    <w:pStyle w:val="7"/>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2316" w:type="dxa"/>
                  <w:vAlign w:val="center"/>
                </w:tcPr>
                <w:p>
                  <w:pPr>
                    <w:pStyle w:val="7"/>
                    <w:spacing w:line="240" w:lineRule="auto"/>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污染源</w:t>
                  </w:r>
                </w:p>
              </w:tc>
              <w:tc>
                <w:tcPr>
                  <w:tcW w:w="2414" w:type="dxa"/>
                  <w:vAlign w:val="center"/>
                </w:tcPr>
                <w:p>
                  <w:pPr>
                    <w:pStyle w:val="7"/>
                    <w:spacing w:line="240" w:lineRule="auto"/>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治理措施</w:t>
                  </w:r>
                </w:p>
              </w:tc>
              <w:tc>
                <w:tcPr>
                  <w:tcW w:w="2779" w:type="dxa"/>
                  <w:vAlign w:val="center"/>
                </w:tcPr>
                <w:p>
                  <w:pPr>
                    <w:pStyle w:val="7"/>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eastAsia="zh-CN"/>
                    </w:rPr>
                    <w:t>执行</w:t>
                  </w:r>
                  <w:r>
                    <w:rPr>
                      <w:rFonts w:hint="default" w:ascii="Times New Roman" w:hAnsi="Times New Roman" w:cs="Times New Roman"/>
                      <w:b/>
                      <w:bCs/>
                      <w:color w:val="auto"/>
                      <w:sz w:val="21"/>
                      <w:szCs w:val="21"/>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97" w:type="dxa"/>
                  <w:vMerge w:val="restart"/>
                  <w:vAlign w:val="center"/>
                </w:tcPr>
                <w:p>
                  <w:pPr>
                    <w:pStyle w:val="7"/>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固废</w:t>
                  </w:r>
                </w:p>
              </w:tc>
              <w:tc>
                <w:tcPr>
                  <w:tcW w:w="2316" w:type="dxa"/>
                  <w:vAlign w:val="center"/>
                </w:tcPr>
                <w:p>
                  <w:pPr>
                    <w:spacing w:line="240" w:lineRule="auto"/>
                    <w:jc w:val="center"/>
                    <w:rPr>
                      <w:rFonts w:hint="default" w:ascii="Times New Roman" w:hAnsi="Times New Roman" w:eastAsia="宋体" w:cs="Times New Roman"/>
                      <w:snapToGrid w:val="0"/>
                      <w:color w:val="auto"/>
                      <w:sz w:val="21"/>
                      <w:szCs w:val="21"/>
                      <w:lang w:eastAsia="zh-CN"/>
                    </w:rPr>
                  </w:pPr>
                  <w:r>
                    <w:rPr>
                      <w:rFonts w:hint="default" w:ascii="Times New Roman" w:hAnsi="Times New Roman" w:cs="Times New Roman"/>
                      <w:snapToGrid w:val="0"/>
                      <w:color w:val="auto"/>
                      <w:sz w:val="21"/>
                      <w:szCs w:val="21"/>
                      <w:lang w:eastAsia="zh-CN"/>
                    </w:rPr>
                    <w:t>三级沉淀池底泥（即废混凝土）</w:t>
                  </w:r>
                </w:p>
              </w:tc>
              <w:tc>
                <w:tcPr>
                  <w:tcW w:w="2414" w:type="dxa"/>
                  <w:vAlign w:val="center"/>
                </w:tcPr>
                <w:p>
                  <w:pPr>
                    <w:widowControl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固废临时堆场</w:t>
                  </w:r>
                </w:p>
              </w:tc>
              <w:tc>
                <w:tcPr>
                  <w:tcW w:w="2779" w:type="dxa"/>
                  <w:vAlign w:val="center"/>
                </w:tcPr>
                <w:p>
                  <w:pPr>
                    <w:pStyle w:val="7"/>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《一般工业固体废物贮存、处置场污染控制标准》（</w:t>
                  </w:r>
                  <w:r>
                    <w:rPr>
                      <w:rFonts w:hint="default" w:ascii="Times New Roman" w:hAnsi="Times New Roman" w:cs="Times New Roman"/>
                      <w:color w:val="auto"/>
                      <w:sz w:val="21"/>
                      <w:szCs w:val="21"/>
                      <w:lang w:val="en-US" w:eastAsia="zh-CN"/>
                    </w:rPr>
                    <w:t>GB18599-2001</w:t>
                  </w:r>
                  <w:r>
                    <w:rPr>
                      <w:rFonts w:hint="default" w:ascii="Times New Roman" w:hAnsi="Times New Roman" w:cs="Times New Roman"/>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97" w:type="dxa"/>
                  <w:vMerge w:val="continue"/>
                  <w:vAlign w:val="center"/>
                </w:tcPr>
                <w:p>
                  <w:pPr>
                    <w:pStyle w:val="7"/>
                    <w:spacing w:line="240" w:lineRule="auto"/>
                    <w:ind w:firstLine="0" w:firstLineChars="0"/>
                    <w:jc w:val="center"/>
                    <w:rPr>
                      <w:rFonts w:hint="default" w:ascii="Times New Roman" w:hAnsi="Times New Roman" w:cs="Times New Roman"/>
                      <w:color w:val="auto"/>
                      <w:sz w:val="21"/>
                      <w:szCs w:val="21"/>
                    </w:rPr>
                  </w:pPr>
                </w:p>
              </w:tc>
              <w:tc>
                <w:tcPr>
                  <w:tcW w:w="2316" w:type="dxa"/>
                  <w:vAlign w:val="center"/>
                </w:tcPr>
                <w:p>
                  <w:pPr>
                    <w:spacing w:line="240" w:lineRule="auto"/>
                    <w:jc w:val="center"/>
                    <w:rPr>
                      <w:rFonts w:hint="default" w:ascii="Times New Roman" w:hAnsi="Times New Roman" w:eastAsia="宋体" w:cs="Times New Roman"/>
                      <w:snapToGrid w:val="0"/>
                      <w:color w:val="auto"/>
                      <w:sz w:val="21"/>
                      <w:szCs w:val="21"/>
                      <w:lang w:eastAsia="zh-CN"/>
                    </w:rPr>
                  </w:pPr>
                  <w:r>
                    <w:rPr>
                      <w:rFonts w:hint="default" w:ascii="Times New Roman" w:hAnsi="Times New Roman" w:cs="Times New Roman"/>
                      <w:snapToGrid w:val="0"/>
                      <w:color w:val="auto"/>
                      <w:sz w:val="21"/>
                      <w:szCs w:val="21"/>
                      <w:lang w:eastAsia="zh-CN"/>
                    </w:rPr>
                    <w:t>生活垃圾</w:t>
                  </w:r>
                </w:p>
              </w:tc>
              <w:tc>
                <w:tcPr>
                  <w:tcW w:w="2414" w:type="dxa"/>
                  <w:vAlign w:val="center"/>
                </w:tcPr>
                <w:p>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市政部门外运</w:t>
                  </w:r>
                </w:p>
              </w:tc>
              <w:tc>
                <w:tcPr>
                  <w:tcW w:w="2779" w:type="dxa"/>
                  <w:vAlign w:val="center"/>
                </w:tcPr>
                <w:p>
                  <w:pPr>
                    <w:pStyle w:val="7"/>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97" w:type="dxa"/>
                  <w:vMerge w:val="continue"/>
                  <w:vAlign w:val="center"/>
                </w:tcPr>
                <w:p>
                  <w:pPr>
                    <w:pStyle w:val="7"/>
                    <w:spacing w:line="240" w:lineRule="auto"/>
                    <w:ind w:firstLine="0" w:firstLineChars="0"/>
                    <w:jc w:val="center"/>
                    <w:rPr>
                      <w:rFonts w:hint="default" w:ascii="Times New Roman" w:hAnsi="Times New Roman" w:cs="Times New Roman"/>
                      <w:color w:val="auto"/>
                      <w:sz w:val="21"/>
                      <w:szCs w:val="21"/>
                    </w:rPr>
                  </w:pPr>
                </w:p>
              </w:tc>
              <w:tc>
                <w:tcPr>
                  <w:tcW w:w="2316" w:type="dxa"/>
                  <w:vAlign w:val="center"/>
                </w:tcPr>
                <w:p>
                  <w:pPr>
                    <w:spacing w:line="240" w:lineRule="auto"/>
                    <w:jc w:val="center"/>
                    <w:rPr>
                      <w:rFonts w:hint="default" w:ascii="Times New Roman" w:hAnsi="Times New Roman" w:eastAsia="宋体" w:cs="Times New Roman"/>
                      <w:snapToGrid w:val="0"/>
                      <w:color w:val="auto"/>
                      <w:sz w:val="21"/>
                      <w:szCs w:val="21"/>
                      <w:lang w:eastAsia="zh-CN"/>
                    </w:rPr>
                  </w:pPr>
                  <w:r>
                    <w:rPr>
                      <w:rFonts w:hint="default" w:ascii="Times New Roman" w:hAnsi="Times New Roman" w:cs="Times New Roman"/>
                      <w:snapToGrid w:val="0"/>
                      <w:color w:val="auto"/>
                      <w:sz w:val="21"/>
                      <w:szCs w:val="21"/>
                      <w:lang w:eastAsia="zh-CN"/>
                    </w:rPr>
                    <w:t>设备维护固废</w:t>
                  </w:r>
                </w:p>
              </w:tc>
              <w:tc>
                <w:tcPr>
                  <w:tcW w:w="2414" w:type="dxa"/>
                  <w:vAlign w:val="center"/>
                </w:tcPr>
                <w:p>
                  <w:pPr>
                    <w:widowControl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厂区暂存后，送有危废资质处置单位处理</w:t>
                  </w:r>
                </w:p>
              </w:tc>
              <w:tc>
                <w:tcPr>
                  <w:tcW w:w="2779" w:type="dxa"/>
                  <w:vAlign w:val="center"/>
                </w:tcPr>
                <w:p>
                  <w:pPr>
                    <w:pStyle w:val="7"/>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《危险废物贮存污染控制标准》（GB18597-2001）</w:t>
                  </w:r>
                </w:p>
              </w:tc>
            </w:tr>
          </w:tbl>
          <w:p>
            <w:pPr>
              <w:pStyle w:val="2"/>
              <w:spacing w:before="0" w:beforeLines="0" w:after="0" w:afterLines="0"/>
              <w:rPr>
                <w:rFonts w:hint="default" w:ascii="Times New Roman" w:hAnsi="Times New Roman" w:cs="Times New Roman"/>
                <w:color w:val="auto"/>
                <w:lang w:val="en-US" w:eastAsia="zh-CN"/>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3135" w:hRule="atLeast"/>
          <w:jc w:val="center"/>
        </w:trPr>
        <w:tc>
          <w:tcPr>
            <w:tcW w:w="8522" w:type="dxa"/>
            <w:vAlign w:val="top"/>
          </w:tcPr>
          <w:p>
            <w:pPr>
              <w:spacing w:before="48" w:beforeLines="20"/>
              <w:rPr>
                <w:rFonts w:hint="default" w:ascii="Times New Roman" w:hAnsi="Times New Roman" w:cs="Times New Roman"/>
                <w:b/>
                <w:bCs/>
                <w:color w:val="auto"/>
                <w:szCs w:val="24"/>
              </w:rPr>
            </w:pPr>
            <w:r>
              <w:rPr>
                <w:rFonts w:hint="default" w:ascii="Times New Roman" w:hAnsi="Times New Roman" w:cs="Times New Roman"/>
                <w:b/>
                <w:bCs/>
                <w:color w:val="auto"/>
                <w:szCs w:val="24"/>
              </w:rPr>
              <w:t>2、审批部门审批决定</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lang w:val="zh-TW"/>
              </w:rPr>
            </w:pPr>
            <w:r>
              <w:rPr>
                <w:rFonts w:hint="default" w:ascii="Times New Roman" w:hAnsi="Times New Roman" w:cs="Times New Roman"/>
                <w:color w:val="auto"/>
                <w:sz w:val="24"/>
                <w:szCs w:val="24"/>
                <w:lang w:val="zh-TW"/>
              </w:rPr>
              <w:t>关于</w:t>
            </w:r>
            <w:r>
              <w:rPr>
                <w:rFonts w:hint="default" w:ascii="Times New Roman" w:hAnsi="Times New Roman" w:cs="Times New Roman"/>
                <w:color w:val="auto"/>
                <w:sz w:val="24"/>
                <w:szCs w:val="24"/>
                <w:lang w:val="zh-TW" w:eastAsia="zh-CN"/>
              </w:rPr>
              <w:t>《</w:t>
            </w:r>
            <w:r>
              <w:rPr>
                <w:rFonts w:hint="default" w:ascii="Times New Roman" w:hAnsi="Times New Roman" w:cs="Times New Roman"/>
                <w:color w:val="auto"/>
                <w:sz w:val="24"/>
                <w:szCs w:val="24"/>
                <w:lang w:val="zh-TW"/>
              </w:rPr>
              <w:t>陕西勇轩混凝土有限公司年产经营30万立方西预拌混凝土和30万吨干粉砂浆项目</w:t>
            </w:r>
            <w:r>
              <w:rPr>
                <w:rFonts w:hint="default" w:ascii="Times New Roman" w:hAnsi="Times New Roman" w:cs="Times New Roman"/>
                <w:color w:val="auto"/>
                <w:sz w:val="24"/>
                <w:szCs w:val="24"/>
                <w:lang w:val="zh-TW" w:eastAsia="zh-CN"/>
              </w:rPr>
              <w:t>》</w:t>
            </w:r>
            <w:r>
              <w:rPr>
                <w:rFonts w:hint="default" w:ascii="Times New Roman" w:hAnsi="Times New Roman" w:cs="Times New Roman"/>
                <w:color w:val="auto"/>
                <w:sz w:val="24"/>
                <w:szCs w:val="24"/>
                <w:lang w:val="zh-TW"/>
              </w:rPr>
              <w:t>变更批复如下：</w:t>
            </w:r>
          </w:p>
          <w:p>
            <w:pPr>
              <w:spacing w:line="360" w:lineRule="auto"/>
              <w:rPr>
                <w:rFonts w:hint="default" w:ascii="Times New Roman" w:hAnsi="Times New Roman" w:cs="Times New Roman"/>
                <w:b w:val="0"/>
                <w:bCs w:val="0"/>
                <w:color w:val="auto"/>
                <w:sz w:val="24"/>
                <w:szCs w:val="24"/>
                <w:u w:val="none"/>
                <w:lang w:val="en-US" w:eastAsia="zh-CN"/>
              </w:rPr>
            </w:pPr>
            <w:r>
              <w:rPr>
                <w:rFonts w:hint="default" w:ascii="Times New Roman" w:hAnsi="Times New Roman" w:cs="Times New Roman"/>
                <w:b w:val="0"/>
                <w:bCs w:val="0"/>
                <w:color w:val="auto"/>
                <w:sz w:val="24"/>
                <w:szCs w:val="24"/>
                <w:u w:val="none"/>
                <w:lang w:val="en-US" w:eastAsia="zh-CN"/>
              </w:rPr>
              <w:t>陕西勇轩混凝土有限公司：</w:t>
            </w:r>
          </w:p>
          <w:p>
            <w:pPr>
              <w:spacing w:line="360" w:lineRule="auto"/>
              <w:ind w:firstLine="480" w:firstLineChars="200"/>
              <w:jc w:val="left"/>
              <w:rPr>
                <w:rFonts w:hint="default" w:ascii="Times New Roman" w:hAnsi="Times New Roman" w:cs="Times New Roman" w:eastAsiaTheme="minorEastAsia"/>
                <w:b w:val="0"/>
                <w:bCs w:val="0"/>
                <w:color w:val="auto"/>
                <w:sz w:val="24"/>
                <w:szCs w:val="24"/>
                <w:u w:val="none"/>
                <w:lang w:val="en-US" w:eastAsia="zh-CN"/>
              </w:rPr>
            </w:pPr>
            <w:r>
              <w:rPr>
                <w:rFonts w:hint="default" w:ascii="Times New Roman" w:hAnsi="Times New Roman" w:cs="Times New Roman" w:eastAsiaTheme="minorEastAsia"/>
                <w:b w:val="0"/>
                <w:bCs w:val="0"/>
                <w:color w:val="auto"/>
                <w:sz w:val="24"/>
                <w:szCs w:val="24"/>
                <w:u w:val="none"/>
                <w:lang w:val="en-US" w:eastAsia="zh-CN"/>
              </w:rPr>
              <w:t>你公司《关于陕西勇轩混凝土有限公司年产经营30万立方米预拌混凝土和30万吨干粉砂浆项目变更申请》已收悉。经审查研究，批复如下：</w:t>
            </w:r>
          </w:p>
          <w:p>
            <w:pPr>
              <w:numPr>
                <w:ilvl w:val="0"/>
                <w:numId w:val="0"/>
              </w:numPr>
              <w:spacing w:line="360" w:lineRule="auto"/>
              <w:ind w:left="420" w:leftChars="0"/>
              <w:jc w:val="both"/>
              <w:rPr>
                <w:rFonts w:hint="default" w:ascii="Times New Roman" w:hAnsi="Times New Roman" w:cs="Times New Roman" w:eastAsiaTheme="minorEastAsia"/>
                <w:b/>
                <w:bCs/>
                <w:color w:val="auto"/>
                <w:sz w:val="24"/>
                <w:szCs w:val="24"/>
                <w:u w:val="none"/>
                <w:lang w:val="en-US" w:eastAsia="zh-CN"/>
              </w:rPr>
            </w:pPr>
            <w:r>
              <w:rPr>
                <w:rFonts w:hint="default" w:ascii="Times New Roman" w:hAnsi="Times New Roman" w:cs="Times New Roman" w:eastAsiaTheme="minorEastAsia"/>
                <w:b w:val="0"/>
                <w:bCs w:val="0"/>
                <w:color w:val="auto"/>
                <w:sz w:val="24"/>
                <w:szCs w:val="24"/>
                <w:u w:val="none"/>
                <w:lang w:val="en-US" w:eastAsia="zh-CN"/>
              </w:rPr>
              <w:t xml:space="preserve">  一、</w:t>
            </w:r>
            <w:r>
              <w:rPr>
                <w:rFonts w:hint="default" w:ascii="Times New Roman" w:hAnsi="Times New Roman" w:cs="Times New Roman" w:eastAsiaTheme="minorEastAsia"/>
                <w:b/>
                <w:bCs/>
                <w:color w:val="auto"/>
                <w:sz w:val="24"/>
                <w:szCs w:val="24"/>
                <w:u w:val="none"/>
                <w:lang w:val="en-US" w:eastAsia="zh-CN"/>
              </w:rPr>
              <w:t>项目变更内容</w:t>
            </w:r>
          </w:p>
          <w:p>
            <w:pPr>
              <w:spacing w:line="360" w:lineRule="auto"/>
              <w:ind w:firstLine="720"/>
              <w:jc w:val="left"/>
              <w:rPr>
                <w:rFonts w:hint="default" w:ascii="Times New Roman" w:hAnsi="Times New Roman" w:cs="Times New Roman" w:eastAsiaTheme="minorEastAsia"/>
                <w:b w:val="0"/>
                <w:bCs w:val="0"/>
                <w:color w:val="auto"/>
                <w:sz w:val="24"/>
                <w:szCs w:val="24"/>
                <w:u w:val="none"/>
                <w:lang w:val="en-US" w:eastAsia="zh-CN"/>
              </w:rPr>
            </w:pPr>
            <w:r>
              <w:rPr>
                <w:rFonts w:hint="default" w:ascii="Times New Roman" w:hAnsi="Times New Roman" w:cs="Times New Roman" w:eastAsiaTheme="minorEastAsia"/>
                <w:b w:val="0"/>
                <w:bCs w:val="0"/>
                <w:color w:val="auto"/>
                <w:sz w:val="24"/>
                <w:szCs w:val="24"/>
                <w:u w:val="none"/>
                <w:lang w:val="en-US" w:eastAsia="zh-CN"/>
              </w:rPr>
              <w:t>该公司年产经营30万立方米预拌混凝土和30万吨干粉砂浆项目，其中年产经营30万吨干粉砂浆项目建设主体变更为陕西卓建永固建材有限公司，项目其他环评内容不变。</w:t>
            </w:r>
          </w:p>
          <w:p>
            <w:pPr>
              <w:spacing w:line="360" w:lineRule="auto"/>
              <w:ind w:firstLine="720"/>
              <w:jc w:val="left"/>
              <w:rPr>
                <w:rFonts w:hint="default" w:ascii="Times New Roman" w:hAnsi="Times New Roman" w:cs="Times New Roman" w:eastAsiaTheme="minorEastAsia"/>
                <w:b w:val="0"/>
                <w:bCs w:val="0"/>
                <w:color w:val="auto"/>
                <w:sz w:val="24"/>
                <w:szCs w:val="24"/>
                <w:u w:val="none"/>
                <w:lang w:val="en-US" w:eastAsia="zh-CN"/>
              </w:rPr>
            </w:pPr>
            <w:r>
              <w:rPr>
                <w:rFonts w:hint="default" w:ascii="Times New Roman" w:hAnsi="Times New Roman" w:cs="Times New Roman" w:eastAsiaTheme="minorEastAsia"/>
                <w:b w:val="0"/>
                <w:bCs w:val="0"/>
                <w:color w:val="auto"/>
                <w:spacing w:val="-20"/>
                <w:sz w:val="24"/>
                <w:szCs w:val="24"/>
                <w:u w:val="none"/>
                <w:lang w:val="en-US" w:eastAsia="zh-CN"/>
              </w:rPr>
              <w:t>2015年8月20日</w:t>
            </w:r>
            <w:r>
              <w:rPr>
                <w:rFonts w:hint="default" w:ascii="Times New Roman" w:hAnsi="Times New Roman" w:cs="Times New Roman" w:eastAsiaTheme="minorEastAsia"/>
                <w:b w:val="0"/>
                <w:bCs w:val="0"/>
                <w:color w:val="auto"/>
                <w:sz w:val="24"/>
                <w:szCs w:val="24"/>
                <w:u w:val="none"/>
                <w:lang w:val="en-US" w:eastAsia="zh-CN"/>
              </w:rPr>
              <w:t>，我局已对《陕西勇轩混凝土有限公司年产经营30万立方米预拌混凝土和30万吨干粉砂浆项目环境影响报告表》</w:t>
            </w:r>
            <w:r>
              <w:rPr>
                <w:rFonts w:hint="default" w:ascii="Times New Roman" w:hAnsi="Times New Roman" w:cs="Times New Roman" w:eastAsiaTheme="minorEastAsia"/>
                <w:b w:val="0"/>
                <w:bCs w:val="0"/>
                <w:color w:val="auto"/>
                <w:spacing w:val="-20"/>
                <w:sz w:val="24"/>
                <w:szCs w:val="24"/>
                <w:u w:val="none"/>
                <w:lang w:val="en-US" w:eastAsia="zh-CN"/>
              </w:rPr>
              <w:t>（秦汉管规﹝2015〕108号）</w:t>
            </w:r>
            <w:r>
              <w:rPr>
                <w:rFonts w:hint="default" w:ascii="Times New Roman" w:hAnsi="Times New Roman" w:cs="Times New Roman" w:eastAsiaTheme="minorEastAsia"/>
                <w:b w:val="0"/>
                <w:bCs w:val="0"/>
                <w:color w:val="auto"/>
                <w:sz w:val="24"/>
                <w:szCs w:val="24"/>
                <w:u w:val="none"/>
                <w:lang w:val="en-US" w:eastAsia="zh-CN"/>
              </w:rPr>
              <w:t>进行批复，项目建设性质、地点、产品、规模、采取的生产工艺及污染物防治措施等均未发生变化，依照相关环保法律、法规，原环评批复文件有效。目前，该项目主体工程已基本建成，同意对原建设项目做相关变更。</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eastAsiaTheme="minorEastAsia"/>
                <w:b/>
                <w:bCs/>
                <w:color w:val="auto"/>
                <w:sz w:val="24"/>
                <w:szCs w:val="24"/>
                <w:u w:val="none"/>
                <w:lang w:val="en-US" w:eastAsia="zh-CN"/>
              </w:rPr>
            </w:pPr>
            <w:r>
              <w:rPr>
                <w:rFonts w:hint="default" w:ascii="Times New Roman" w:hAnsi="Times New Roman" w:cs="Times New Roman" w:eastAsiaTheme="minorEastAsia"/>
                <w:b/>
                <w:bCs/>
                <w:color w:val="auto"/>
                <w:sz w:val="24"/>
                <w:szCs w:val="24"/>
                <w:u w:val="none"/>
                <w:lang w:val="en-US" w:eastAsia="zh-CN"/>
              </w:rPr>
              <w:t>项目在运营过程中必须重点做好以下几项工作</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b w:val="0"/>
                <w:bCs w:val="0"/>
                <w:color w:val="auto"/>
                <w:sz w:val="24"/>
                <w:szCs w:val="24"/>
                <w:u w:val="none"/>
                <w:lang w:val="en-US" w:eastAsia="zh-CN"/>
              </w:rPr>
            </w:pPr>
            <w:r>
              <w:rPr>
                <w:rFonts w:hint="default" w:ascii="Times New Roman" w:hAnsi="Times New Roman" w:cs="Times New Roman" w:eastAsiaTheme="minorEastAsia"/>
                <w:b w:val="0"/>
                <w:bCs w:val="0"/>
                <w:color w:val="auto"/>
                <w:sz w:val="24"/>
                <w:szCs w:val="24"/>
                <w:u w:val="none"/>
                <w:lang w:val="en-US" w:eastAsia="zh-CN"/>
              </w:rPr>
              <w:t>加强施工后期的废气的治理。采取有效措施防止运输、开挖和回填产生的扬尘，对施工道路及场地必须及时清扫、洒水，降低扬尘对周围环境空气的影响。</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b w:val="0"/>
                <w:bCs w:val="0"/>
                <w:color w:val="auto"/>
                <w:sz w:val="24"/>
                <w:szCs w:val="24"/>
                <w:u w:val="none"/>
                <w:lang w:val="en-US" w:eastAsia="zh-CN"/>
              </w:rPr>
            </w:pPr>
            <w:r>
              <w:rPr>
                <w:rFonts w:hint="default" w:ascii="Times New Roman" w:hAnsi="Times New Roman" w:cs="Times New Roman" w:eastAsiaTheme="minorEastAsia"/>
                <w:b w:val="0"/>
                <w:bCs w:val="0"/>
                <w:color w:val="auto"/>
                <w:sz w:val="24"/>
                <w:szCs w:val="24"/>
                <w:u w:val="none"/>
                <w:lang w:val="en-US" w:eastAsia="zh-CN"/>
              </w:rPr>
              <w:t>运行期间，尽可能采用低噪声设备，合理布置高噪声设备的位置；厂界四周昼间和夜间噪声满足《工业企业厂界环境噪声排放标准》（GB12348-2008）中2类标准，减小对周边环境影响。</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b w:val="0"/>
                <w:bCs w:val="0"/>
                <w:color w:val="auto"/>
                <w:sz w:val="24"/>
                <w:szCs w:val="24"/>
                <w:u w:val="none"/>
                <w:lang w:val="en-US" w:eastAsia="zh-CN"/>
              </w:rPr>
            </w:pPr>
            <w:r>
              <w:rPr>
                <w:rFonts w:hint="default" w:ascii="Times New Roman" w:hAnsi="Times New Roman" w:cs="Times New Roman" w:eastAsiaTheme="minorEastAsia"/>
                <w:b w:val="0"/>
                <w:bCs w:val="0"/>
                <w:color w:val="auto"/>
                <w:sz w:val="24"/>
                <w:szCs w:val="24"/>
                <w:u w:val="none"/>
                <w:lang w:val="en-US" w:eastAsia="zh-CN"/>
              </w:rPr>
              <w:t>加强对运营期废气的治理。该项目主要废气为粉尘和食堂油烟。对每个粉料筒仓仓顶呼吸孔应设置一</w:t>
            </w:r>
            <w:r>
              <w:rPr>
                <w:rFonts w:hint="default" w:ascii="Times New Roman" w:hAnsi="Times New Roman" w:cs="Times New Roman" w:eastAsiaTheme="minorEastAsia"/>
                <w:b w:val="0"/>
                <w:bCs w:val="0"/>
                <w:color w:val="auto"/>
                <w:spacing w:val="-20"/>
                <w:sz w:val="24"/>
                <w:szCs w:val="24"/>
                <w:u w:val="none"/>
                <w:lang w:val="en-US" w:eastAsia="zh-CN"/>
              </w:rPr>
              <w:t>台WAM</w:t>
            </w:r>
            <w:r>
              <w:rPr>
                <w:rFonts w:hint="default" w:ascii="Times New Roman" w:hAnsi="Times New Roman" w:cs="Times New Roman" w:eastAsiaTheme="minorEastAsia"/>
                <w:b w:val="0"/>
                <w:bCs w:val="0"/>
                <w:color w:val="auto"/>
                <w:sz w:val="24"/>
                <w:szCs w:val="24"/>
                <w:u w:val="none"/>
                <w:lang w:val="en-US" w:eastAsia="zh-CN"/>
              </w:rPr>
              <w:t>型除尘器进行处理，满足DB61/941—2014《关中地区重点行业大气污染物排放限值》中的表2标准要求；原料堆场应建设密闭的料库，在料库内壁四周、骨料投料口设洒水喷淋装置，满足《水泥工业大气污染物排放标准》（GB4915-2013）相关标准要求；食堂油烟经油烟净化器处理后，满足《饮食业油烟排放标准》（GB18483-2001）表2中标准</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b w:val="0"/>
                <w:bCs w:val="0"/>
                <w:color w:val="auto"/>
                <w:sz w:val="24"/>
                <w:szCs w:val="24"/>
                <w:u w:val="none"/>
                <w:lang w:val="en-US" w:eastAsia="zh-CN"/>
              </w:rPr>
            </w:pPr>
            <w:r>
              <w:rPr>
                <w:rFonts w:hint="default" w:ascii="Times New Roman" w:hAnsi="Times New Roman" w:cs="Times New Roman" w:eastAsiaTheme="minorEastAsia"/>
                <w:b w:val="0"/>
                <w:bCs w:val="0"/>
                <w:color w:val="auto"/>
                <w:sz w:val="24"/>
                <w:szCs w:val="24"/>
                <w:u w:val="none"/>
                <w:lang w:val="en-US" w:eastAsia="zh-CN"/>
              </w:rPr>
              <w:t>加强对运营期废水的处理。项目产生的废水主要为清洗水、冲洗水以及生活污水。生活污水经隔油池、化粪池、一体化污水处理设施处理后，用于厂区洒水；产生的清洗水和冲洗水经三级沉淀处理后全部回用，不外排。</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b w:val="0"/>
                <w:bCs w:val="0"/>
                <w:color w:val="auto"/>
                <w:sz w:val="24"/>
                <w:szCs w:val="24"/>
                <w:u w:val="none"/>
                <w:lang w:val="en-US" w:eastAsia="zh-CN"/>
              </w:rPr>
            </w:pPr>
            <w:r>
              <w:rPr>
                <w:rFonts w:hint="default" w:ascii="Times New Roman" w:hAnsi="Times New Roman" w:cs="Times New Roman" w:eastAsiaTheme="minorEastAsia"/>
                <w:b w:val="0"/>
                <w:bCs w:val="0"/>
                <w:color w:val="auto"/>
                <w:sz w:val="24"/>
                <w:szCs w:val="24"/>
                <w:u w:val="none"/>
                <w:lang w:val="en-US" w:eastAsia="zh-CN"/>
              </w:rPr>
              <w:t>加强固体废弃物的管理。各除尘装置收集的粉尘均回用于生产，综合利用；生活垃圾集中收集后由环卫部门统一处理；污水处理设施产生的污泥应定期由附近村民用罐车运走作为农肥综合利用；设备维护工序产生废机油和擦油抹布，应由有资质的危废处理单位处理。</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b w:val="0"/>
                <w:bCs w:val="0"/>
                <w:color w:val="auto"/>
                <w:sz w:val="24"/>
                <w:szCs w:val="24"/>
                <w:u w:val="none"/>
                <w:lang w:val="en-US" w:eastAsia="zh-CN"/>
              </w:rPr>
            </w:pPr>
            <w:r>
              <w:rPr>
                <w:rFonts w:hint="default" w:ascii="Times New Roman" w:hAnsi="Times New Roman" w:cs="Times New Roman" w:eastAsiaTheme="minorEastAsia"/>
                <w:b w:val="0"/>
                <w:bCs w:val="0"/>
                <w:color w:val="auto"/>
                <w:sz w:val="24"/>
                <w:szCs w:val="24"/>
                <w:u w:val="none"/>
                <w:lang w:val="en-US" w:eastAsia="zh-CN"/>
              </w:rPr>
              <w:t>加强厂区植树绿化，在靠近道路两侧，特别是环境敏感区附近密植乔木、灌木，净化吸收污染物，美化环境，降低噪声。</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2" w:firstLineChars="200"/>
              <w:jc w:val="left"/>
              <w:textAlignment w:val="auto"/>
              <w:rPr>
                <w:rFonts w:hint="default" w:ascii="Times New Roman" w:hAnsi="Times New Roman" w:cs="Times New Roman" w:eastAsiaTheme="minorEastAsia"/>
                <w:b/>
                <w:bCs/>
                <w:color w:val="auto"/>
                <w:sz w:val="24"/>
                <w:szCs w:val="24"/>
                <w:u w:val="none"/>
                <w:lang w:val="en-US" w:eastAsia="zh-CN"/>
              </w:rPr>
            </w:pPr>
            <w:r>
              <w:rPr>
                <w:rFonts w:hint="default" w:ascii="Times New Roman" w:hAnsi="Times New Roman" w:cs="Times New Roman" w:eastAsiaTheme="minorEastAsia"/>
                <w:b/>
                <w:bCs/>
                <w:color w:val="auto"/>
                <w:sz w:val="24"/>
                <w:szCs w:val="24"/>
                <w:u w:val="none"/>
                <w:lang w:val="en-US" w:eastAsia="zh-CN"/>
              </w:rPr>
              <w:t>项目经验收合格后方可正式投入生产，违反本规定要求的，要承担相应环保法律责任。</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2" w:firstLineChars="200"/>
              <w:jc w:val="left"/>
              <w:textAlignment w:val="auto"/>
              <w:rPr>
                <w:rFonts w:hint="default" w:ascii="Times New Roman" w:hAnsi="Times New Roman" w:cs="Times New Roman" w:eastAsiaTheme="minorEastAsia"/>
                <w:b/>
                <w:bCs/>
                <w:color w:val="auto"/>
                <w:sz w:val="24"/>
                <w:szCs w:val="24"/>
                <w:u w:val="none"/>
                <w:lang w:val="en-US" w:eastAsia="zh-CN"/>
              </w:rPr>
            </w:pPr>
            <w:r>
              <w:rPr>
                <w:rFonts w:hint="default" w:ascii="Times New Roman" w:hAnsi="Times New Roman" w:cs="Times New Roman" w:eastAsiaTheme="minorEastAsia"/>
                <w:b/>
                <w:bCs/>
                <w:color w:val="auto"/>
                <w:sz w:val="24"/>
                <w:szCs w:val="24"/>
                <w:u w:val="none"/>
                <w:lang w:val="en-US" w:eastAsia="zh-CN"/>
              </w:rPr>
              <w:t>本批复自下达之日起，项目的性质、产品、规模、地点、采用的污染物防治污染措施及工艺等发生重大变动的，必须新报批项目的环境影响评价文件。</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2" w:firstLineChars="200"/>
              <w:jc w:val="left"/>
              <w:textAlignment w:val="auto"/>
              <w:rPr>
                <w:rFonts w:hint="default" w:ascii="Times New Roman" w:hAnsi="Times New Roman" w:cs="Times New Roman" w:eastAsiaTheme="minorEastAsia"/>
                <w:b/>
                <w:bCs/>
                <w:color w:val="auto"/>
                <w:sz w:val="24"/>
                <w:szCs w:val="24"/>
                <w:u w:val="none"/>
                <w:lang w:val="en-US" w:eastAsia="zh-CN"/>
              </w:rPr>
            </w:pPr>
            <w:r>
              <w:rPr>
                <w:rFonts w:hint="default" w:ascii="Times New Roman" w:hAnsi="Times New Roman" w:cs="Times New Roman" w:eastAsiaTheme="minorEastAsia"/>
                <w:b/>
                <w:bCs/>
                <w:color w:val="auto"/>
                <w:sz w:val="24"/>
                <w:szCs w:val="24"/>
                <w:u w:val="none"/>
                <w:lang w:val="en-US" w:eastAsia="zh-CN"/>
              </w:rPr>
              <w:t>未涉及事项严格按照国家有关法律、法规办理。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default" w:ascii="Times New Roman" w:hAnsi="Times New Roman" w:cs="Times New Roman" w:eastAsiaTheme="minorEastAsia"/>
                <w:b/>
                <w:bCs/>
                <w:color w:val="auto"/>
                <w:sz w:val="24"/>
                <w:szCs w:val="24"/>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default" w:ascii="Times New Roman" w:hAnsi="Times New Roman" w:cs="Times New Roman" w:eastAsiaTheme="minorEastAsia"/>
                <w:b/>
                <w:bCs/>
                <w:color w:val="auto"/>
                <w:sz w:val="24"/>
                <w:szCs w:val="24"/>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default" w:ascii="Times New Roman" w:hAnsi="Times New Roman" w:cs="Times New Roman" w:eastAsiaTheme="minorEastAsia"/>
                <w:b/>
                <w:bCs/>
                <w:color w:val="auto"/>
                <w:sz w:val="24"/>
                <w:szCs w:val="24"/>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right"/>
              <w:textAlignment w:val="auto"/>
              <w:rPr>
                <w:rFonts w:hint="default" w:ascii="Times New Roman" w:hAnsi="Times New Roman" w:cs="Times New Roman" w:eastAsiaTheme="minorEastAsia"/>
                <w:b w:val="0"/>
                <w:bCs w:val="0"/>
                <w:color w:val="auto"/>
                <w:sz w:val="24"/>
                <w:szCs w:val="24"/>
                <w:u w:val="none"/>
                <w:lang w:val="en-US" w:eastAsia="zh-CN"/>
              </w:rPr>
            </w:pPr>
            <w:r>
              <w:rPr>
                <w:rFonts w:hint="default" w:ascii="Times New Roman" w:hAnsi="Times New Roman" w:cs="Times New Roman" w:eastAsiaTheme="minorEastAsia"/>
                <w:b w:val="0"/>
                <w:bCs w:val="0"/>
                <w:color w:val="auto"/>
                <w:sz w:val="24"/>
                <w:szCs w:val="24"/>
                <w:u w:val="none"/>
                <w:lang w:val="en-US" w:eastAsia="zh-CN"/>
              </w:rPr>
              <w:t>陕西省西咸新区秦汉新城规划建设环保和房屋管理局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lang w:val="en-US"/>
              </w:rPr>
            </w:pPr>
            <w:r>
              <w:rPr>
                <w:rFonts w:hint="default" w:ascii="Times New Roman" w:hAnsi="Times New Roman" w:cs="Times New Roman" w:eastAsiaTheme="minorEastAsia"/>
                <w:b w:val="0"/>
                <w:bCs w:val="0"/>
                <w:color w:val="auto"/>
                <w:sz w:val="24"/>
                <w:szCs w:val="24"/>
                <w:u w:val="none"/>
                <w:lang w:val="en-US" w:eastAsia="zh-CN"/>
              </w:rPr>
              <w:t xml:space="preserve">                     2016年3月15日</w:t>
            </w:r>
          </w:p>
        </w:tc>
      </w:tr>
    </w:tbl>
    <w:p>
      <w:pPr>
        <w:rPr>
          <w:rFonts w:hint="default" w:ascii="Times New Roman" w:hAnsi="Times New Roman" w:eastAsia="仿宋_GB2312" w:cs="Times New Roman"/>
          <w:b/>
          <w:color w:val="auto"/>
          <w:sz w:val="28"/>
          <w:szCs w:val="28"/>
        </w:rPr>
      </w:pPr>
      <w:r>
        <w:rPr>
          <w:rFonts w:hint="default" w:ascii="Times New Roman" w:hAnsi="Times New Roman" w:cs="Times New Roman"/>
          <w:color w:val="auto"/>
        </w:rPr>
        <w:br w:type="page"/>
      </w:r>
      <w:r>
        <w:rPr>
          <w:rFonts w:hint="default" w:ascii="Times New Roman" w:hAnsi="Times New Roman" w:eastAsia="仿宋_GB2312" w:cs="Times New Roman"/>
          <w:b/>
          <w:color w:val="auto"/>
          <w:sz w:val="28"/>
          <w:szCs w:val="28"/>
        </w:rPr>
        <w:t>表五</w:t>
      </w:r>
    </w:p>
    <w:tbl>
      <w:tblPr>
        <w:tblStyle w:val="17"/>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1602" w:hRule="atLeast"/>
          <w:jc w:val="center"/>
        </w:trPr>
        <w:tc>
          <w:tcPr>
            <w:tcW w:w="8522" w:type="dxa"/>
          </w:tcPr>
          <w:p>
            <w:pPr>
              <w:rPr>
                <w:rFonts w:hint="default" w:ascii="Times New Roman" w:hAnsi="Times New Roman" w:cs="Times New Roman"/>
                <w:b/>
                <w:bCs/>
                <w:color w:val="auto"/>
                <w:szCs w:val="24"/>
              </w:rPr>
            </w:pPr>
            <w:r>
              <w:rPr>
                <w:rFonts w:hint="default" w:ascii="Times New Roman" w:hAnsi="Times New Roman" w:cs="Times New Roman"/>
                <w:b/>
                <w:bCs/>
                <w:color w:val="auto"/>
                <w:szCs w:val="24"/>
              </w:rPr>
              <w:t>验收</w:t>
            </w:r>
            <w:r>
              <w:rPr>
                <w:rFonts w:hint="default" w:ascii="Times New Roman" w:hAnsi="Times New Roman" w:cs="Times New Roman"/>
                <w:b/>
                <w:bCs/>
                <w:color w:val="auto"/>
                <w:szCs w:val="24"/>
                <w:lang w:eastAsia="zh-CN"/>
              </w:rPr>
              <w:t>检查内容</w:t>
            </w:r>
            <w:r>
              <w:rPr>
                <w:rFonts w:hint="default" w:ascii="Times New Roman" w:hAnsi="Times New Roman" w:cs="Times New Roman"/>
                <w:b/>
                <w:bCs/>
                <w:color w:val="auto"/>
                <w:szCs w:val="24"/>
              </w:rPr>
              <w:t>：</w:t>
            </w:r>
          </w:p>
          <w:p>
            <w:pPr>
              <w:numPr>
                <w:ilvl w:val="0"/>
                <w:numId w:val="6"/>
              </w:numPr>
              <w:ind w:firstLine="480"/>
              <w:rPr>
                <w:rFonts w:hint="default" w:ascii="Times New Roman" w:hAnsi="Times New Roman" w:cs="Times New Roman"/>
                <w:color w:val="auto"/>
              </w:rPr>
            </w:pPr>
            <w:r>
              <w:rPr>
                <w:rFonts w:hint="default" w:ascii="Times New Roman" w:hAnsi="Times New Roman" w:cs="Times New Roman"/>
                <w:color w:val="auto"/>
              </w:rPr>
              <w:t>检查固体废物的产生量和去向；</w:t>
            </w:r>
          </w:p>
          <w:p>
            <w:pPr>
              <w:numPr>
                <w:ilvl w:val="0"/>
                <w:numId w:val="6"/>
              </w:numPr>
              <w:ind w:firstLine="480"/>
              <w:jc w:val="both"/>
              <w:rPr>
                <w:rFonts w:hint="default" w:ascii="Times New Roman" w:hAnsi="Times New Roman" w:cs="Times New Roman"/>
                <w:color w:val="auto"/>
              </w:rPr>
            </w:pPr>
            <w:r>
              <w:rPr>
                <w:rFonts w:hint="default" w:ascii="Times New Roman" w:hAnsi="Times New Roman" w:cs="Times New Roman"/>
                <w:color w:val="auto"/>
              </w:rPr>
              <w:t>检查固体废物厂内收集、暂存方式、防渗措施等</w:t>
            </w:r>
            <w:r>
              <w:rPr>
                <w:rFonts w:hint="default" w:ascii="Times New Roman" w:hAnsi="Times New Roman" w:cs="Times New Roman"/>
                <w:color w:val="auto"/>
                <w:lang w:eastAsia="zh-CN"/>
              </w:rPr>
              <w:t>；</w:t>
            </w:r>
          </w:p>
          <w:p>
            <w:pPr>
              <w:numPr>
                <w:ilvl w:val="0"/>
                <w:numId w:val="6"/>
              </w:numPr>
              <w:ind w:firstLine="480"/>
              <w:jc w:val="both"/>
              <w:rPr>
                <w:rFonts w:hint="default" w:ascii="Times New Roman" w:hAnsi="Times New Roman" w:cs="Times New Roman"/>
                <w:color w:val="auto"/>
              </w:rPr>
            </w:pPr>
            <w:r>
              <w:rPr>
                <w:rFonts w:hint="default" w:ascii="Times New Roman" w:hAnsi="Times New Roman" w:cs="Times New Roman"/>
                <w:color w:val="auto"/>
              </w:rPr>
              <w:t>危险废物的收集、暂存、转移和委托处置，严格执行危险废物台账和转移联单制度。</w:t>
            </w:r>
          </w:p>
          <w:p>
            <w:pPr>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通过现场检查：项目产生固体废物主要为生活垃圾、一般固体废物和危险废物。一般固体废物主要来自生产过程</w:t>
            </w:r>
            <w:r>
              <w:rPr>
                <w:rFonts w:hint="default" w:ascii="Times New Roman" w:hAnsi="Times New Roman" w:cs="Times New Roman"/>
                <w:color w:val="auto"/>
                <w:lang w:eastAsia="zh-CN"/>
              </w:rPr>
              <w:t>筛砂机、砂石分离器筛分出来的废砂石，除尘器收集的除尘灰</w:t>
            </w:r>
            <w:r>
              <w:rPr>
                <w:rFonts w:hint="default" w:ascii="Times New Roman" w:hAnsi="Times New Roman" w:cs="Times New Roman"/>
                <w:color w:val="auto"/>
              </w:rPr>
              <w:t>；危险废物主要来自设备的保养维修。</w:t>
            </w:r>
          </w:p>
          <w:p>
            <w:pPr>
              <w:ind w:firstLine="480" w:firstLineChars="200"/>
              <w:jc w:val="both"/>
              <w:rPr>
                <w:rFonts w:hint="default" w:ascii="Times New Roman" w:hAnsi="Times New Roman" w:cs="Times New Roman"/>
                <w:color w:val="auto"/>
                <w:highlight w:val="none"/>
                <w:lang w:val="en-US"/>
              </w:rPr>
            </w:pPr>
            <w:r>
              <w:rPr>
                <w:rFonts w:hint="default" w:ascii="Times New Roman" w:hAnsi="Times New Roman" w:cs="Times New Roman"/>
                <w:color w:val="auto"/>
              </w:rPr>
              <w:t>经现场检查及调查，项目产</w:t>
            </w:r>
            <w:r>
              <w:rPr>
                <w:rFonts w:hint="default" w:ascii="Times New Roman" w:hAnsi="Times New Roman" w:cs="Times New Roman"/>
                <w:color w:val="auto"/>
                <w:lang w:eastAsia="zh-CN"/>
              </w:rPr>
              <w:t>废砂石</w:t>
            </w:r>
            <w:r>
              <w:rPr>
                <w:rFonts w:hint="default" w:ascii="Times New Roman" w:hAnsi="Times New Roman" w:cs="Times New Roman"/>
                <w:color w:val="auto"/>
              </w:rPr>
              <w:t>约为</w:t>
            </w:r>
            <w:r>
              <w:rPr>
                <w:rFonts w:hint="default" w:ascii="Times New Roman" w:hAnsi="Times New Roman" w:cs="Times New Roman"/>
                <w:color w:val="auto"/>
                <w:lang w:val="en-US" w:eastAsia="zh-CN"/>
              </w:rPr>
              <w:t>30</w:t>
            </w:r>
            <w:r>
              <w:rPr>
                <w:rFonts w:hint="default" w:ascii="Times New Roman" w:hAnsi="Times New Roman" w:cs="Times New Roman"/>
                <w:color w:val="auto"/>
              </w:rPr>
              <w:t>t/a，暂存于筛分固废储存间，由西咸新区江源保洁服务公司运至合法垃圾处理厂</w:t>
            </w:r>
            <w:r>
              <w:rPr>
                <w:rFonts w:hint="default" w:ascii="Times New Roman" w:hAnsi="Times New Roman" w:cs="Times New Roman"/>
                <w:color w:val="auto"/>
                <w:lang w:eastAsia="zh-CN"/>
              </w:rPr>
              <w:t>；除尘灰</w:t>
            </w:r>
            <w:r>
              <w:rPr>
                <w:rFonts w:hint="default" w:ascii="Times New Roman" w:hAnsi="Times New Roman" w:cs="Times New Roman"/>
                <w:color w:val="auto"/>
              </w:rPr>
              <w:t>约</w:t>
            </w:r>
            <w:r>
              <w:rPr>
                <w:rFonts w:hint="default" w:ascii="Times New Roman" w:hAnsi="Times New Roman" w:cs="Times New Roman"/>
                <w:color w:val="auto"/>
                <w:lang w:val="en-US" w:eastAsia="zh-CN"/>
              </w:rPr>
              <w:t>170</w:t>
            </w:r>
            <w:r>
              <w:rPr>
                <w:rFonts w:hint="default" w:ascii="Times New Roman" w:hAnsi="Times New Roman" w:cs="Times New Roman"/>
                <w:color w:val="auto"/>
              </w:rPr>
              <w:t>t/a，收集后回用于生产工序；员工生活垃圾产生量约为</w:t>
            </w:r>
            <w:r>
              <w:rPr>
                <w:rFonts w:hint="default" w:ascii="Times New Roman" w:hAnsi="Times New Roman" w:cs="Times New Roman"/>
                <w:color w:val="auto"/>
                <w:lang w:val="en-US" w:eastAsia="zh-CN"/>
              </w:rPr>
              <w:t>9</w:t>
            </w:r>
            <w:r>
              <w:rPr>
                <w:rFonts w:hint="default" w:ascii="Times New Roman" w:hAnsi="Times New Roman" w:cs="Times New Roman"/>
                <w:color w:val="auto"/>
              </w:rPr>
              <w:t>t/a，垃圾桶收集后交由环卫部门处置；设备保养维修产生的废机油、废油手套、废油桶等危废分类收集于</w:t>
            </w:r>
            <w:r>
              <w:rPr>
                <w:rFonts w:hint="default" w:ascii="Times New Roman" w:hAnsi="Times New Roman" w:cs="Times New Roman"/>
                <w:color w:val="auto"/>
                <w:highlight w:val="none"/>
              </w:rPr>
              <w:t>危废暂存间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暂存后交由资质单位处置，处置合同详见附件</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eastAsia="zh-CN"/>
              </w:rPr>
              <w:t>，</w:t>
            </w:r>
            <w:r>
              <w:rPr>
                <w:rFonts w:hint="default" w:ascii="Times New Roman" w:hAnsi="Times New Roman" w:cs="Times New Roman"/>
                <w:b w:val="0"/>
                <w:bCs/>
                <w:color w:val="auto"/>
                <w:sz w:val="24"/>
                <w:szCs w:val="24"/>
                <w:lang w:val="en-US" w:eastAsia="zh-CN"/>
              </w:rPr>
              <w:t>危险废物管理台账见附件</w:t>
            </w:r>
            <w:r>
              <w:rPr>
                <w:rFonts w:hint="eastAsia" w:ascii="Times New Roman" w:hAnsi="Times New Roman" w:cs="Times New Roman"/>
                <w:b w:val="0"/>
                <w:bCs/>
                <w:color w:val="auto"/>
                <w:sz w:val="24"/>
                <w:szCs w:val="24"/>
                <w:lang w:val="en-US" w:eastAsia="zh-CN"/>
              </w:rPr>
              <w:t>8</w:t>
            </w:r>
            <w:r>
              <w:rPr>
                <w:rFonts w:hint="default" w:ascii="Times New Roman" w:hAnsi="Times New Roman" w:cs="Times New Roman"/>
                <w:color w:val="auto"/>
                <w:highlight w:val="none"/>
              </w:rPr>
              <w:t>。</w:t>
            </w:r>
            <w:r>
              <w:rPr>
                <w:rFonts w:hint="default" w:ascii="Times New Roman" w:hAnsi="Times New Roman" w:eastAsia="宋体" w:cs="Times New Roman"/>
                <w:b w:val="0"/>
                <w:bCs/>
                <w:color w:val="auto"/>
                <w:kern w:val="0"/>
                <w:sz w:val="24"/>
                <w:szCs w:val="24"/>
                <w:highlight w:val="none"/>
                <w:lang w:val="en-US" w:eastAsia="zh-CN" w:bidi="ar-SA"/>
              </w:rPr>
              <w:t>项目固体废物产生及处置方式一览表见表5-1。</w:t>
            </w:r>
          </w:p>
          <w:p>
            <w:pPr>
              <w:spacing w:line="240" w:lineRule="auto"/>
              <w:jc w:val="center"/>
              <w:rPr>
                <w:rFonts w:hint="default" w:ascii="Times New Roman" w:hAnsi="Times New Roman" w:cs="Times New Roman"/>
                <w:b/>
                <w:color w:val="auto"/>
              </w:rPr>
            </w:pPr>
            <w:r>
              <w:rPr>
                <w:rFonts w:hint="default" w:ascii="Times New Roman" w:hAnsi="Times New Roman" w:cs="Times New Roman"/>
                <w:b/>
                <w:color w:val="auto"/>
              </w:rPr>
              <w:t>表5-1   项目固体废物产生及处置方式一览表</w:t>
            </w:r>
          </w:p>
          <w:tbl>
            <w:tblPr>
              <w:tblStyle w:val="17"/>
              <w:tblW w:w="870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6"/>
              <w:gridCol w:w="938"/>
              <w:gridCol w:w="1950"/>
              <w:gridCol w:w="1750"/>
              <w:gridCol w:w="1262"/>
              <w:gridCol w:w="22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556" w:type="dxa"/>
                  <w:tcBorders>
                    <w:top w:val="single" w:color="auto" w:sz="12" w:space="0"/>
                    <w:left w:val="nil"/>
                    <w:bottom w:val="single" w:color="auto" w:sz="4" w:space="0"/>
                    <w:right w:val="single" w:color="auto" w:sz="4" w:space="0"/>
                  </w:tcBorders>
                  <w:noWrap w:val="0"/>
                  <w:vAlign w:val="center"/>
                </w:tcPr>
                <w:p>
                  <w:pPr>
                    <w:spacing w:line="240" w:lineRule="auto"/>
                    <w:ind w:left="-120" w:leftChars="-50" w:right="-120" w:rightChars="-5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序号</w:t>
                  </w:r>
                </w:p>
              </w:tc>
              <w:tc>
                <w:tcPr>
                  <w:tcW w:w="938" w:type="dxa"/>
                  <w:tcBorders>
                    <w:top w:val="single" w:color="auto" w:sz="12" w:space="0"/>
                    <w:left w:val="single" w:color="auto" w:sz="4" w:space="0"/>
                    <w:bottom w:val="single" w:color="auto" w:sz="4" w:space="0"/>
                    <w:right w:val="single" w:color="auto" w:sz="4" w:space="0"/>
                  </w:tcBorders>
                  <w:noWrap w:val="0"/>
                  <w:vAlign w:val="center"/>
                </w:tcPr>
                <w:p>
                  <w:pPr>
                    <w:spacing w:line="240" w:lineRule="auto"/>
                    <w:ind w:left="-120" w:leftChars="-50" w:right="-120" w:rightChars="-5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固废性质</w:t>
                  </w:r>
                </w:p>
              </w:tc>
              <w:tc>
                <w:tcPr>
                  <w:tcW w:w="1950" w:type="dxa"/>
                  <w:tcBorders>
                    <w:top w:val="single" w:color="auto" w:sz="12" w:space="0"/>
                    <w:left w:val="single" w:color="auto" w:sz="4" w:space="0"/>
                    <w:bottom w:val="single" w:color="auto" w:sz="4" w:space="0"/>
                    <w:right w:val="single" w:color="auto" w:sz="4" w:space="0"/>
                  </w:tcBorders>
                  <w:noWrap w:val="0"/>
                  <w:vAlign w:val="center"/>
                </w:tcPr>
                <w:p>
                  <w:pPr>
                    <w:spacing w:line="240" w:lineRule="auto"/>
                    <w:ind w:left="-120" w:leftChars="-50" w:right="-120" w:rightChars="-5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固废名称</w:t>
                  </w:r>
                </w:p>
              </w:tc>
              <w:tc>
                <w:tcPr>
                  <w:tcW w:w="1750" w:type="dxa"/>
                  <w:tcBorders>
                    <w:top w:val="single" w:color="auto" w:sz="12" w:space="0"/>
                    <w:left w:val="single" w:color="auto" w:sz="4" w:space="0"/>
                    <w:bottom w:val="single" w:color="auto" w:sz="4" w:space="0"/>
                    <w:right w:val="single" w:color="auto" w:sz="4" w:space="0"/>
                  </w:tcBorders>
                  <w:noWrap w:val="0"/>
                  <w:vAlign w:val="center"/>
                </w:tcPr>
                <w:p>
                  <w:pPr>
                    <w:spacing w:line="240" w:lineRule="auto"/>
                    <w:ind w:left="-120" w:leftChars="-50" w:right="-120" w:rightChars="-5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来源</w:t>
                  </w:r>
                </w:p>
              </w:tc>
              <w:tc>
                <w:tcPr>
                  <w:tcW w:w="1262" w:type="dxa"/>
                  <w:tcBorders>
                    <w:top w:val="single" w:color="auto" w:sz="12" w:space="0"/>
                    <w:left w:val="single" w:color="auto" w:sz="4" w:space="0"/>
                    <w:bottom w:val="single" w:color="auto" w:sz="4" w:space="0"/>
                    <w:right w:val="single" w:color="auto" w:sz="4" w:space="0"/>
                  </w:tcBorders>
                  <w:noWrap w:val="0"/>
                  <w:vAlign w:val="center"/>
                </w:tcPr>
                <w:p>
                  <w:pPr>
                    <w:spacing w:line="240" w:lineRule="auto"/>
                    <w:ind w:left="-120" w:leftChars="-50" w:right="-120" w:rightChars="-5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产生量（t/a）</w:t>
                  </w:r>
                </w:p>
              </w:tc>
              <w:tc>
                <w:tcPr>
                  <w:tcW w:w="2252" w:type="dxa"/>
                  <w:tcBorders>
                    <w:top w:val="single" w:color="auto" w:sz="12" w:space="0"/>
                    <w:left w:val="single" w:color="auto" w:sz="4" w:space="0"/>
                    <w:bottom w:val="single" w:color="auto" w:sz="4" w:space="0"/>
                    <w:right w:val="nil"/>
                  </w:tcBorders>
                  <w:noWrap w:val="0"/>
                  <w:vAlign w:val="center"/>
                </w:tcPr>
                <w:p>
                  <w:pPr>
                    <w:spacing w:line="240" w:lineRule="auto"/>
                    <w:ind w:left="-120" w:leftChars="-50" w:right="-120" w:rightChars="-5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56" w:type="dxa"/>
                  <w:tcBorders>
                    <w:top w:val="single" w:color="auto" w:sz="4" w:space="0"/>
                    <w:left w:val="nil"/>
                    <w:bottom w:val="single" w:color="auto" w:sz="4" w:space="0"/>
                    <w:right w:val="single" w:color="auto" w:sz="4" w:space="0"/>
                  </w:tcBorders>
                  <w:noWrap w:val="0"/>
                  <w:vAlign w:val="center"/>
                </w:tcPr>
                <w:p>
                  <w:pPr>
                    <w:spacing w:line="240" w:lineRule="auto"/>
                    <w:ind w:left="-120" w:leftChars="-50" w:right="-120" w:rightChars="-5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93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20" w:leftChars="-50" w:right="-120" w:rightChars="-5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生活垃圾</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20" w:leftChars="-50" w:right="-120" w:rightChars="-5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生活垃圾</w:t>
                  </w:r>
                </w:p>
              </w:tc>
              <w:tc>
                <w:tcPr>
                  <w:tcW w:w="175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20" w:leftChars="-50" w:right="-120" w:rightChars="-5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职工办公生活</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t/a</w:t>
                  </w:r>
                </w:p>
              </w:tc>
              <w:tc>
                <w:tcPr>
                  <w:tcW w:w="2252" w:type="dxa"/>
                  <w:tcBorders>
                    <w:top w:val="single" w:color="auto" w:sz="4" w:space="0"/>
                    <w:left w:val="single" w:color="auto" w:sz="4" w:space="0"/>
                    <w:bottom w:val="single" w:color="auto" w:sz="4" w:space="0"/>
                    <w:right w:val="nil"/>
                  </w:tcBorders>
                  <w:noWrap w:val="0"/>
                  <w:vAlign w:val="center"/>
                </w:tcPr>
                <w:p>
                  <w:pPr>
                    <w:spacing w:line="240" w:lineRule="auto"/>
                    <w:ind w:left="-120" w:leftChars="-50" w:right="-120" w:rightChars="-50"/>
                    <w:jc w:val="center"/>
                    <w:rPr>
                      <w:rFonts w:hint="default" w:ascii="Times New Roman" w:hAnsi="Times New Roman" w:cs="Times New Roman"/>
                      <w:color w:val="auto"/>
                      <w:kern w:val="2"/>
                      <w:sz w:val="21"/>
                      <w:szCs w:val="21"/>
                    </w:rPr>
                  </w:pPr>
                  <w:r>
                    <w:rPr>
                      <w:rFonts w:hint="default" w:ascii="Times New Roman" w:hAnsi="Times New Roman" w:cs="Times New Roman"/>
                      <w:bCs w:val="0"/>
                      <w:color w:val="auto"/>
                      <w:sz w:val="21"/>
                      <w:szCs w:val="21"/>
                    </w:rPr>
                    <w:t>垃圾桶收集后交环卫部门</w:t>
                  </w:r>
                  <w:r>
                    <w:rPr>
                      <w:rFonts w:hint="default" w:ascii="Times New Roman" w:hAnsi="Times New Roman" w:cs="Times New Roman"/>
                      <w:color w:val="auto"/>
                      <w:kern w:val="2"/>
                      <w:sz w:val="21"/>
                      <w:szCs w:val="21"/>
                    </w:rPr>
                    <w:t>统一处置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556" w:type="dxa"/>
                  <w:vMerge w:val="restart"/>
                  <w:tcBorders>
                    <w:top w:val="single" w:color="auto" w:sz="4" w:space="0"/>
                    <w:left w:val="nil"/>
                    <w:right w:val="single" w:color="auto" w:sz="4" w:space="0"/>
                  </w:tcBorders>
                  <w:noWrap w:val="0"/>
                  <w:vAlign w:val="center"/>
                </w:tcPr>
                <w:p>
                  <w:pPr>
                    <w:spacing w:line="240" w:lineRule="auto"/>
                    <w:ind w:left="-120" w:leftChars="-50" w:right="-120" w:rightChars="-5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w:t>
                  </w:r>
                </w:p>
              </w:tc>
              <w:tc>
                <w:tcPr>
                  <w:tcW w:w="93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left="-120" w:leftChars="-50" w:right="-120" w:rightChars="-5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一般</w:t>
                  </w:r>
                </w:p>
                <w:p>
                  <w:pPr>
                    <w:spacing w:line="240" w:lineRule="auto"/>
                    <w:ind w:left="-120" w:leftChars="-50" w:right="-120" w:rightChars="-5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固体废物</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pStyle w:val="7"/>
                    <w:widowControl w:val="0"/>
                    <w:spacing w:line="240" w:lineRule="auto"/>
                    <w:ind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bCs w:val="0"/>
                      <w:color w:val="auto"/>
                      <w:sz w:val="21"/>
                      <w:szCs w:val="21"/>
                      <w:lang w:eastAsia="zh-CN"/>
                    </w:rPr>
                    <w:t>废砂石</w:t>
                  </w:r>
                </w:p>
              </w:tc>
              <w:tc>
                <w:tcPr>
                  <w:tcW w:w="1750" w:type="dxa"/>
                  <w:tcBorders>
                    <w:top w:val="single" w:color="auto" w:sz="4" w:space="0"/>
                    <w:left w:val="single" w:color="auto" w:sz="4" w:space="0"/>
                    <w:bottom w:val="single" w:color="auto" w:sz="4" w:space="0"/>
                    <w:right w:val="single" w:color="auto" w:sz="4" w:space="0"/>
                  </w:tcBorders>
                  <w:noWrap w:val="0"/>
                  <w:vAlign w:val="center"/>
                </w:tcPr>
                <w:p>
                  <w:pPr>
                    <w:pStyle w:val="7"/>
                    <w:widowControl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bCs w:val="0"/>
                      <w:color w:val="auto"/>
                      <w:sz w:val="21"/>
                      <w:szCs w:val="21"/>
                    </w:rPr>
                    <w:t>生产工序</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lang w:val="en-US" w:eastAsia="zh-CN"/>
                    </w:rPr>
                    <w:t>30</w:t>
                  </w:r>
                  <w:r>
                    <w:rPr>
                      <w:rFonts w:hint="default" w:ascii="Times New Roman" w:hAnsi="Times New Roman" w:cs="Times New Roman"/>
                      <w:color w:val="auto"/>
                      <w:sz w:val="21"/>
                      <w:szCs w:val="21"/>
                    </w:rPr>
                    <w:t>t/a</w:t>
                  </w:r>
                </w:p>
              </w:tc>
              <w:tc>
                <w:tcPr>
                  <w:tcW w:w="2252" w:type="dxa"/>
                  <w:tcBorders>
                    <w:top w:val="single" w:color="auto" w:sz="4" w:space="0"/>
                    <w:left w:val="single" w:color="auto" w:sz="4" w:space="0"/>
                    <w:right w:val="nil"/>
                  </w:tcBorders>
                  <w:noWrap w:val="0"/>
                  <w:vAlign w:val="center"/>
                </w:tcPr>
                <w:p>
                  <w:pPr>
                    <w:pStyle w:val="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lang w:eastAsia="zh-CN"/>
                    </w:rPr>
                    <w:t>暂存于筛分固废储存间，由</w:t>
                  </w:r>
                  <w:r>
                    <w:rPr>
                      <w:rFonts w:hint="default" w:ascii="Times New Roman" w:hAnsi="Times New Roman" w:cs="Times New Roman"/>
                      <w:bCs w:val="0"/>
                      <w:color w:val="auto"/>
                      <w:sz w:val="21"/>
                      <w:szCs w:val="21"/>
                    </w:rPr>
                    <w:t>西咸新区江源保洁服务公司运至合法垃圾处理厂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trPr>
              <w:tc>
                <w:tcPr>
                  <w:tcW w:w="556" w:type="dxa"/>
                  <w:vMerge w:val="continue"/>
                  <w:tcBorders>
                    <w:left w:val="nil"/>
                    <w:right w:val="single" w:color="auto" w:sz="4" w:space="0"/>
                  </w:tcBorders>
                  <w:noWrap w:val="0"/>
                  <w:vAlign w:val="center"/>
                </w:tcPr>
                <w:p>
                  <w:pPr>
                    <w:spacing w:line="240" w:lineRule="auto"/>
                    <w:ind w:left="-120" w:leftChars="-50" w:right="-120" w:rightChars="-50"/>
                    <w:jc w:val="center"/>
                    <w:rPr>
                      <w:rFonts w:hint="default" w:ascii="Times New Roman" w:hAnsi="Times New Roman" w:cs="Times New Roman"/>
                      <w:color w:val="auto"/>
                      <w:kern w:val="2"/>
                      <w:sz w:val="21"/>
                      <w:szCs w:val="21"/>
                    </w:rPr>
                  </w:pPr>
                </w:p>
              </w:tc>
              <w:tc>
                <w:tcPr>
                  <w:tcW w:w="938"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snapToGrid/>
                    <w:spacing w:line="240" w:lineRule="auto"/>
                    <w:rPr>
                      <w:rFonts w:hint="default" w:ascii="Times New Roman" w:hAnsi="Times New Roman" w:cs="Times New Roman"/>
                      <w:color w:val="auto"/>
                      <w:kern w:val="2"/>
                      <w:sz w:val="21"/>
                      <w:szCs w:val="21"/>
                    </w:rPr>
                  </w:pPr>
                </w:p>
              </w:tc>
              <w:tc>
                <w:tcPr>
                  <w:tcW w:w="1950" w:type="dxa"/>
                  <w:tcBorders>
                    <w:top w:val="single" w:color="auto" w:sz="4" w:space="0"/>
                    <w:left w:val="single" w:color="auto" w:sz="4" w:space="0"/>
                    <w:bottom w:val="single" w:color="auto" w:sz="4" w:space="0"/>
                    <w:right w:val="single" w:color="auto" w:sz="4" w:space="0"/>
                  </w:tcBorders>
                  <w:noWrap w:val="0"/>
                  <w:vAlign w:val="center"/>
                </w:tcPr>
                <w:p>
                  <w:pPr>
                    <w:pStyle w:val="7"/>
                    <w:widowControl w:val="0"/>
                    <w:spacing w:line="240" w:lineRule="auto"/>
                    <w:ind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eastAsia="zh-CN"/>
                    </w:rPr>
                    <w:t>除尘灰</w:t>
                  </w:r>
                </w:p>
              </w:tc>
              <w:tc>
                <w:tcPr>
                  <w:tcW w:w="1750" w:type="dxa"/>
                  <w:tcBorders>
                    <w:top w:val="single" w:color="auto" w:sz="4" w:space="0"/>
                    <w:left w:val="single" w:color="auto" w:sz="4" w:space="0"/>
                    <w:bottom w:val="single" w:color="auto" w:sz="4" w:space="0"/>
                    <w:right w:val="single" w:color="auto" w:sz="4" w:space="0"/>
                  </w:tcBorders>
                  <w:noWrap w:val="0"/>
                  <w:vAlign w:val="center"/>
                </w:tcPr>
                <w:p>
                  <w:pPr>
                    <w:pStyle w:val="7"/>
                    <w:widowControl w:val="0"/>
                    <w:spacing w:line="240" w:lineRule="auto"/>
                    <w:ind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bCs w:val="0"/>
                      <w:color w:val="auto"/>
                      <w:sz w:val="21"/>
                      <w:szCs w:val="21"/>
                      <w:lang w:eastAsia="zh-CN"/>
                    </w:rPr>
                    <w:t>除尘设备</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lang w:val="en-US" w:eastAsia="zh-CN"/>
                    </w:rPr>
                    <w:t>170</w:t>
                  </w:r>
                  <w:r>
                    <w:rPr>
                      <w:rFonts w:hint="default" w:ascii="Times New Roman" w:hAnsi="Times New Roman" w:cs="Times New Roman"/>
                      <w:color w:val="auto"/>
                      <w:sz w:val="21"/>
                      <w:szCs w:val="21"/>
                    </w:rPr>
                    <w:t>t/a</w:t>
                  </w:r>
                </w:p>
              </w:tc>
              <w:tc>
                <w:tcPr>
                  <w:tcW w:w="2252" w:type="dxa"/>
                  <w:tcBorders>
                    <w:left w:val="single" w:color="auto" w:sz="4" w:space="0"/>
                    <w:right w:val="nil"/>
                  </w:tcBorders>
                  <w:noWrap w:val="0"/>
                  <w:vAlign w:val="center"/>
                </w:tcPr>
                <w:p>
                  <w:pPr>
                    <w:spacing w:line="240" w:lineRule="auto"/>
                    <w:ind w:left="-120" w:leftChars="-50" w:right="-120" w:rightChars="-50"/>
                    <w:jc w:val="center"/>
                    <w:rPr>
                      <w:rFonts w:hint="default" w:ascii="Times New Roman" w:hAnsi="Times New Roman" w:cs="Times New Roman"/>
                      <w:color w:val="auto"/>
                      <w:kern w:val="2"/>
                      <w:sz w:val="21"/>
                      <w:szCs w:val="21"/>
                    </w:rPr>
                  </w:pPr>
                  <w:r>
                    <w:rPr>
                      <w:rFonts w:hint="default" w:ascii="Times New Roman" w:hAnsi="Times New Roman" w:cs="Times New Roman"/>
                      <w:bCs w:val="0"/>
                      <w:color w:val="auto"/>
                      <w:sz w:val="21"/>
                      <w:szCs w:val="21"/>
                    </w:rPr>
                    <w:t>回收生产工序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01" w:hRule="atLeast"/>
              </w:trPr>
              <w:tc>
                <w:tcPr>
                  <w:tcW w:w="556" w:type="dxa"/>
                  <w:tcBorders>
                    <w:top w:val="single" w:color="auto" w:sz="4" w:space="0"/>
                    <w:left w:val="nil"/>
                    <w:bottom w:val="single" w:color="auto" w:sz="4" w:space="0"/>
                    <w:right w:val="single" w:color="auto" w:sz="4" w:space="0"/>
                  </w:tcBorders>
                  <w:noWrap w:val="0"/>
                  <w:vAlign w:val="center"/>
                </w:tcPr>
                <w:p>
                  <w:pPr>
                    <w:spacing w:line="240" w:lineRule="auto"/>
                    <w:ind w:left="-120" w:leftChars="-50" w:right="-120" w:rightChars="-5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w:t>
                  </w:r>
                </w:p>
              </w:tc>
              <w:tc>
                <w:tcPr>
                  <w:tcW w:w="93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20" w:leftChars="-50" w:right="-120" w:rightChars="-5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危险废物</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pStyle w:val="7"/>
                    <w:widowControl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bCs w:val="0"/>
                      <w:color w:val="auto"/>
                      <w:sz w:val="21"/>
                      <w:szCs w:val="21"/>
                    </w:rPr>
                    <w:t>废机油、废油手套、废油桶</w:t>
                  </w:r>
                </w:p>
              </w:tc>
              <w:tc>
                <w:tcPr>
                  <w:tcW w:w="1750" w:type="dxa"/>
                  <w:tcBorders>
                    <w:top w:val="single" w:color="auto" w:sz="4" w:space="0"/>
                    <w:left w:val="single" w:color="auto" w:sz="4" w:space="0"/>
                    <w:bottom w:val="single" w:color="auto" w:sz="4" w:space="0"/>
                    <w:right w:val="single" w:color="auto" w:sz="4" w:space="0"/>
                  </w:tcBorders>
                  <w:noWrap w:val="0"/>
                  <w:vAlign w:val="center"/>
                </w:tcPr>
                <w:p>
                  <w:pPr>
                    <w:pStyle w:val="7"/>
                    <w:widowControl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bCs w:val="0"/>
                      <w:color w:val="auto"/>
                      <w:sz w:val="21"/>
                      <w:szCs w:val="21"/>
                    </w:rPr>
                    <w:t>设备保养维修</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t/a</w:t>
                  </w:r>
                </w:p>
              </w:tc>
              <w:tc>
                <w:tcPr>
                  <w:tcW w:w="2252" w:type="dxa"/>
                  <w:tcBorders>
                    <w:top w:val="single" w:color="auto" w:sz="4" w:space="0"/>
                    <w:left w:val="single" w:color="auto" w:sz="4" w:space="0"/>
                    <w:bottom w:val="single" w:color="auto" w:sz="4" w:space="0"/>
                    <w:right w:val="nil"/>
                  </w:tcBorders>
                  <w:noWrap w:val="0"/>
                  <w:vAlign w:val="center"/>
                </w:tcPr>
                <w:p>
                  <w:pPr>
                    <w:spacing w:line="240" w:lineRule="auto"/>
                    <w:ind w:left="-120" w:leftChars="-50" w:right="-120" w:rightChars="-5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厂区设危废暂存间，定期交有资质单位处理</w:t>
                  </w:r>
                </w:p>
              </w:tc>
            </w:tr>
          </w:tbl>
          <w:p>
            <w:pPr>
              <w:rPr>
                <w:rFonts w:hint="default" w:ascii="Times New Roman" w:hAnsi="Times New Roman" w:cs="Times New Roman"/>
                <w:color w:val="auto"/>
              </w:rPr>
            </w:pPr>
            <w:r>
              <w:rPr>
                <w:rFonts w:hint="default" w:ascii="Times New Roman" w:hAnsi="Times New Roman" w:cs="Times New Roman"/>
                <w:color w:val="auto"/>
              </w:rPr>
              <w:t xml:space="preserve">    </w:t>
            </w:r>
          </w:p>
        </w:tc>
      </w:tr>
    </w:tbl>
    <w:p>
      <w:pPr>
        <w:rPr>
          <w:rFonts w:hint="default" w:ascii="Times New Roman" w:hAnsi="Times New Roman" w:eastAsia="仿宋_GB2312" w:cs="Times New Roman"/>
          <w:b/>
          <w:color w:val="auto"/>
          <w:sz w:val="28"/>
          <w:szCs w:val="28"/>
        </w:rPr>
      </w:pPr>
    </w:p>
    <w:p>
      <w:pPr>
        <w:pStyle w:val="2"/>
        <w:spacing w:before="120" w:after="120"/>
        <w:rPr>
          <w:rFonts w:hint="default" w:ascii="Times New Roman" w:hAnsi="Times New Roman" w:cs="Times New Roman"/>
          <w:color w:val="auto"/>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rPr>
          <w:rFonts w:hint="default" w:ascii="Times New Roman" w:hAnsi="Times New Roman" w:eastAsia="仿宋_GB2312" w:cs="Times New Roman"/>
          <w:b/>
          <w:color w:val="auto"/>
          <w:sz w:val="28"/>
          <w:szCs w:val="28"/>
        </w:rPr>
      </w:pPr>
      <w:r>
        <w:rPr>
          <w:rFonts w:hint="default" w:ascii="Times New Roman" w:hAnsi="Times New Roman" w:eastAsia="仿宋_GB2312" w:cs="Times New Roman"/>
          <w:b/>
          <w:color w:val="auto"/>
          <w:sz w:val="28"/>
          <w:szCs w:val="28"/>
        </w:rPr>
        <w:t>表</w:t>
      </w:r>
      <w:r>
        <w:rPr>
          <w:rFonts w:hint="default" w:ascii="Times New Roman" w:hAnsi="Times New Roman" w:eastAsia="仿宋_GB2312" w:cs="Times New Roman"/>
          <w:b/>
          <w:color w:val="auto"/>
          <w:sz w:val="28"/>
          <w:szCs w:val="28"/>
          <w:lang w:eastAsia="zh-CN"/>
        </w:rPr>
        <w:t>六</w:t>
      </w:r>
    </w:p>
    <w:tbl>
      <w:tblPr>
        <w:tblStyle w:val="17"/>
        <w:tblW w:w="893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241" w:hRule="atLeast"/>
          <w:jc w:val="center"/>
        </w:trPr>
        <w:tc>
          <w:tcPr>
            <w:tcW w:w="8933" w:type="dxa"/>
            <w:vAlign w:val="top"/>
          </w:tcPr>
          <w:p>
            <w:pPr>
              <w:spacing w:before="62" w:beforeLines="20"/>
              <w:rPr>
                <w:rFonts w:hint="default" w:ascii="Times New Roman" w:hAnsi="Times New Roman" w:cs="Times New Roman"/>
                <w:b/>
                <w:bCs/>
                <w:color w:val="auto"/>
                <w:szCs w:val="24"/>
              </w:rPr>
            </w:pPr>
            <w:r>
              <w:rPr>
                <w:rFonts w:hint="default" w:ascii="Times New Roman" w:hAnsi="Times New Roman" w:cs="Times New Roman"/>
                <w:b/>
                <w:bCs/>
                <w:color w:val="auto"/>
                <w:szCs w:val="24"/>
              </w:rPr>
              <w:t>验收检查结果：</w:t>
            </w:r>
          </w:p>
          <w:p>
            <w:pPr>
              <w:pStyle w:val="7"/>
              <w:ind w:firstLine="480"/>
              <w:rPr>
                <w:rFonts w:hint="default" w:ascii="Times New Roman" w:hAnsi="Times New Roman" w:cs="Times New Roman"/>
                <w:color w:val="auto"/>
                <w:szCs w:val="24"/>
              </w:rPr>
            </w:pPr>
            <w:r>
              <w:rPr>
                <w:rFonts w:hint="default" w:ascii="Times New Roman" w:hAnsi="Times New Roman" w:cs="Times New Roman"/>
                <w:color w:val="auto"/>
                <w:szCs w:val="24"/>
              </w:rPr>
              <w:t>本项目营运期固体废物主要为</w:t>
            </w:r>
            <w:r>
              <w:rPr>
                <w:rFonts w:hint="default" w:ascii="Times New Roman" w:hAnsi="Times New Roman" w:cs="Times New Roman"/>
                <w:color w:val="auto"/>
              </w:rPr>
              <w:t>生活垃圾、</w:t>
            </w:r>
            <w:r>
              <w:rPr>
                <w:rFonts w:hint="default" w:ascii="Times New Roman" w:hAnsi="Times New Roman" w:cs="Times New Roman"/>
                <w:color w:val="auto"/>
                <w:lang w:eastAsia="zh-CN"/>
              </w:rPr>
              <w:t>废砂石、除尘灰及</w:t>
            </w:r>
            <w:r>
              <w:rPr>
                <w:rFonts w:hint="default" w:ascii="Times New Roman" w:hAnsi="Times New Roman" w:cs="Times New Roman"/>
                <w:color w:val="auto"/>
              </w:rPr>
              <w:t>废机油</w:t>
            </w:r>
            <w:r>
              <w:rPr>
                <w:rFonts w:hint="default" w:ascii="Times New Roman" w:hAnsi="Times New Roman" w:cs="Times New Roman"/>
                <w:color w:val="auto"/>
                <w:szCs w:val="24"/>
              </w:rPr>
              <w:t>。</w:t>
            </w:r>
          </w:p>
          <w:p>
            <w:pPr>
              <w:pStyle w:val="7"/>
              <w:ind w:firstLine="480"/>
              <w:rPr>
                <w:rFonts w:hint="default" w:ascii="Times New Roman" w:hAnsi="Times New Roman" w:cs="Times New Roman"/>
                <w:color w:val="auto"/>
                <w:szCs w:val="24"/>
              </w:rPr>
            </w:pPr>
            <w:r>
              <w:rPr>
                <w:rFonts w:hint="default" w:ascii="Times New Roman" w:hAnsi="Times New Roman" w:cs="Times New Roman"/>
                <w:color w:val="auto"/>
                <w:szCs w:val="24"/>
              </w:rPr>
              <w:t>厂区设垃圾桶，将生活垃圾集中收集后送至当地环卫部门指定堆存地点；</w:t>
            </w:r>
            <w:r>
              <w:rPr>
                <w:rFonts w:hint="default" w:ascii="Times New Roman" w:hAnsi="Times New Roman" w:cs="Times New Roman"/>
                <w:color w:val="auto"/>
                <w:lang w:eastAsia="zh-CN"/>
              </w:rPr>
              <w:t>废砂石</w:t>
            </w:r>
            <w:r>
              <w:rPr>
                <w:rFonts w:hint="default" w:ascii="Times New Roman" w:hAnsi="Times New Roman" w:cs="Times New Roman"/>
                <w:color w:val="auto"/>
              </w:rPr>
              <w:t>暂存于筛分固废储存间，由西咸新区江源保洁服务公司运至合法垃圾处理厂</w:t>
            </w:r>
            <w:r>
              <w:rPr>
                <w:rFonts w:hint="default" w:ascii="Times New Roman" w:hAnsi="Times New Roman" w:cs="Times New Roman"/>
                <w:color w:val="auto"/>
                <w:lang w:eastAsia="zh-CN"/>
              </w:rPr>
              <w:t>；除尘灰</w:t>
            </w:r>
            <w:r>
              <w:rPr>
                <w:rFonts w:hint="default" w:ascii="Times New Roman" w:hAnsi="Times New Roman" w:cs="Times New Roman"/>
                <w:color w:val="auto"/>
              </w:rPr>
              <w:t>收集后回用于生产工序；</w:t>
            </w:r>
            <w:r>
              <w:rPr>
                <w:rFonts w:hint="default" w:ascii="Times New Roman" w:hAnsi="Times New Roman" w:cs="Times New Roman"/>
                <w:color w:val="auto"/>
                <w:szCs w:val="24"/>
              </w:rPr>
              <w:t>设备机油更换产生的废机油暂存于危废暂存间，委托有处理资质的单位处置。固体废弃物100%合理处置。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598" w:hRule="atLeast"/>
          <w:jc w:val="center"/>
        </w:trPr>
        <w:tc>
          <w:tcPr>
            <w:tcW w:w="8933" w:type="dxa"/>
            <w:vAlign w:val="top"/>
          </w:tcPr>
          <w:p>
            <w:pPr>
              <w:jc w:val="both"/>
              <w:rPr>
                <w:rFonts w:hint="default" w:ascii="Times New Roman" w:hAnsi="Times New Roman" w:cs="Times New Roman"/>
                <w:b/>
                <w:bCs/>
                <w:color w:val="auto"/>
                <w:sz w:val="28"/>
                <w:szCs w:val="28"/>
              </w:rPr>
            </w:pPr>
            <w:r>
              <w:rPr>
                <w:rFonts w:hint="default" w:ascii="Times New Roman" w:hAnsi="Times New Roman" w:cs="Times New Roman"/>
                <w:b/>
                <w:bCs/>
                <w:color w:val="auto"/>
                <w:szCs w:val="32"/>
              </w:rPr>
              <w:t>环境管理检査内容</w:t>
            </w:r>
          </w:p>
          <w:p>
            <w:pPr>
              <w:ind w:firstLine="480" w:firstLineChars="200"/>
              <w:jc w:val="both"/>
              <w:rPr>
                <w:rFonts w:hint="default" w:ascii="Times New Roman" w:hAnsi="Times New Roman" w:cs="Times New Roman"/>
                <w:color w:val="auto"/>
                <w:szCs w:val="24"/>
              </w:rPr>
            </w:pPr>
            <w:r>
              <w:rPr>
                <w:rFonts w:hint="default" w:ascii="Times New Roman" w:hAnsi="Times New Roman" w:cs="Times New Roman"/>
                <w:color w:val="auto"/>
                <w:szCs w:val="24"/>
              </w:rPr>
              <w:t>（1）环评批复及环评结论、要求及建议的落实情况</w:t>
            </w:r>
          </w:p>
          <w:p>
            <w:pPr>
              <w:ind w:firstLine="480" w:firstLineChars="200"/>
              <w:jc w:val="both"/>
              <w:rPr>
                <w:rFonts w:hint="default" w:ascii="Times New Roman" w:hAnsi="Times New Roman" w:cs="Times New Roman"/>
                <w:color w:val="auto"/>
                <w:szCs w:val="24"/>
              </w:rPr>
            </w:pPr>
            <w:r>
              <w:rPr>
                <w:rFonts w:hint="default" w:ascii="Times New Roman" w:hAnsi="Times New Roman" w:cs="Times New Roman"/>
                <w:color w:val="auto"/>
                <w:szCs w:val="24"/>
              </w:rPr>
              <w:t>环评批复及环评结论、要求及建议基本落实，落实情况见表2-1。</w:t>
            </w:r>
          </w:p>
          <w:p>
            <w:pPr>
              <w:pStyle w:val="35"/>
              <w:ind w:firstLineChars="200"/>
              <w:jc w:val="both"/>
              <w:rPr>
                <w:rFonts w:hint="default" w:ascii="Times New Roman" w:hAnsi="Times New Roman" w:cs="Times New Roman"/>
                <w:color w:val="auto"/>
                <w:szCs w:val="24"/>
              </w:rPr>
            </w:pPr>
            <w:r>
              <w:rPr>
                <w:rFonts w:hint="default" w:ascii="Times New Roman" w:hAnsi="Times New Roman" w:cs="Times New Roman"/>
                <w:color w:val="auto"/>
                <w:szCs w:val="24"/>
              </w:rPr>
              <w:t>（2）该项目在建设和试生产期间未发生扰民和污染事故，无环境投诉，未受到当地环保部门处罚。</w:t>
            </w:r>
          </w:p>
          <w:p>
            <w:pPr>
              <w:pStyle w:val="7"/>
              <w:ind w:firstLine="480"/>
              <w:jc w:val="both"/>
              <w:rPr>
                <w:rFonts w:hint="default" w:ascii="Times New Roman" w:hAnsi="Times New Roman" w:cs="Times New Roman"/>
                <w:color w:val="auto"/>
                <w:szCs w:val="24"/>
              </w:rPr>
            </w:pPr>
            <w:r>
              <w:rPr>
                <w:rFonts w:hint="default" w:ascii="Times New Roman" w:hAnsi="Times New Roman" w:cs="Times New Roman"/>
                <w:color w:val="auto"/>
                <w:szCs w:val="24"/>
              </w:rPr>
              <w:t>（3）经现场检査企业设有环境保护机构和管理人员，建立了环境保护管理制度，落实环境监测计划，见附件</w:t>
            </w:r>
            <w:r>
              <w:rPr>
                <w:rFonts w:hint="eastAsia" w:cs="Times New Roman"/>
                <w:color w:val="auto"/>
                <w:szCs w:val="24"/>
                <w:lang w:val="en-US" w:eastAsia="zh-CN"/>
              </w:rPr>
              <w:t>9</w:t>
            </w:r>
            <w:r>
              <w:rPr>
                <w:rFonts w:hint="default" w:ascii="Times New Roman" w:hAnsi="Times New Roman" w:cs="Times New Roman"/>
                <w:color w:val="auto"/>
                <w:szCs w:val="24"/>
              </w:rPr>
              <w:t>。</w:t>
            </w:r>
          </w:p>
          <w:p>
            <w:pPr>
              <w:spacing w:line="240" w:lineRule="auto"/>
              <w:jc w:val="both"/>
              <w:rPr>
                <w:rFonts w:hint="default" w:ascii="Times New Roman" w:hAnsi="Times New Roman" w:cs="Times New Roman"/>
                <w:color w:val="auto"/>
                <w:szCs w:val="24"/>
              </w:rPr>
            </w:pPr>
          </w:p>
        </w:tc>
      </w:tr>
    </w:tbl>
    <w:p>
      <w:pPr>
        <w:rPr>
          <w:rFonts w:hint="default" w:ascii="Times New Roman" w:hAnsi="Times New Roman" w:eastAsia="仿宋_GB2312" w:cs="Times New Roman"/>
          <w:b/>
          <w:color w:val="auto"/>
          <w:sz w:val="28"/>
          <w:szCs w:val="28"/>
          <w:lang w:eastAsia="zh-CN"/>
        </w:rPr>
      </w:pPr>
      <w:r>
        <w:rPr>
          <w:rFonts w:hint="default" w:ascii="Times New Roman" w:hAnsi="Times New Roman" w:cs="Times New Roman"/>
          <w:color w:val="auto"/>
          <w:szCs w:val="24"/>
        </w:rPr>
        <w:br w:type="page"/>
      </w:r>
      <w:r>
        <w:rPr>
          <w:rFonts w:hint="default" w:ascii="Times New Roman" w:hAnsi="Times New Roman" w:eastAsia="仿宋_GB2312" w:cs="Times New Roman"/>
          <w:b/>
          <w:color w:val="auto"/>
          <w:sz w:val="28"/>
          <w:szCs w:val="28"/>
        </w:rPr>
        <w:t>表</w:t>
      </w:r>
      <w:r>
        <w:rPr>
          <w:rFonts w:hint="default" w:ascii="Times New Roman" w:hAnsi="Times New Roman" w:eastAsia="仿宋_GB2312" w:cs="Times New Roman"/>
          <w:b/>
          <w:color w:val="auto"/>
          <w:sz w:val="28"/>
          <w:szCs w:val="28"/>
          <w:lang w:eastAsia="zh-CN"/>
        </w:rPr>
        <w:t>七</w:t>
      </w:r>
    </w:p>
    <w:tbl>
      <w:tblPr>
        <w:tblStyle w:val="17"/>
        <w:tblW w:w="892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843" w:hRule="atLeast"/>
          <w:jc w:val="center"/>
        </w:trPr>
        <w:tc>
          <w:tcPr>
            <w:tcW w:w="8924" w:type="dxa"/>
            <w:vAlign w:val="top"/>
          </w:tcPr>
          <w:p>
            <w:pPr>
              <w:spacing w:before="62" w:beforeLines="20"/>
              <w:rPr>
                <w:rFonts w:hint="default" w:ascii="Times New Roman" w:hAnsi="Times New Roman" w:cs="Times New Roman"/>
                <w:b/>
                <w:bCs/>
                <w:color w:val="auto"/>
              </w:rPr>
            </w:pPr>
            <w:r>
              <w:rPr>
                <w:rFonts w:hint="default" w:ascii="Times New Roman" w:hAnsi="Times New Roman" w:cs="Times New Roman"/>
                <w:b/>
                <w:bCs/>
                <w:color w:val="auto"/>
              </w:rPr>
              <w:t>验收监测结论：</w:t>
            </w:r>
          </w:p>
          <w:p>
            <w:pPr>
              <w:pStyle w:val="7"/>
              <w:ind w:firstLine="0" w:firstLineChars="0"/>
              <w:rPr>
                <w:rFonts w:hint="default" w:ascii="Times New Roman" w:hAnsi="Times New Roman" w:cs="Times New Roman"/>
                <w:b/>
                <w:bCs/>
                <w:color w:val="auto"/>
                <w:szCs w:val="24"/>
              </w:rPr>
            </w:pPr>
            <w:r>
              <w:rPr>
                <w:rFonts w:hint="default" w:ascii="Times New Roman" w:hAnsi="Times New Roman" w:cs="Times New Roman"/>
                <w:b/>
                <w:bCs/>
                <w:color w:val="auto"/>
              </w:rPr>
              <w:t>1、项目概况及投资情况</w:t>
            </w:r>
          </w:p>
          <w:p>
            <w:pPr>
              <w:pStyle w:val="7"/>
              <w:ind w:firstLine="480"/>
              <w:jc w:val="both"/>
              <w:rPr>
                <w:rFonts w:hint="default" w:ascii="Times New Roman" w:hAnsi="Times New Roman" w:cs="Times New Roman"/>
                <w:color w:val="auto"/>
              </w:rPr>
            </w:pPr>
            <w:r>
              <w:rPr>
                <w:rFonts w:hint="default" w:ascii="Times New Roman" w:hAnsi="Times New Roman" w:cs="Times New Roman"/>
                <w:color w:val="auto"/>
                <w:lang w:eastAsia="zh-CN"/>
              </w:rPr>
              <w:t>陕西勇轩建材有限公司</w:t>
            </w:r>
            <w:r>
              <w:rPr>
                <w:rFonts w:hint="default" w:ascii="Times New Roman" w:hAnsi="Times New Roman" w:cs="Times New Roman"/>
                <w:color w:val="auto"/>
              </w:rPr>
              <w:t>位于</w:t>
            </w:r>
            <w:r>
              <w:rPr>
                <w:rFonts w:hint="default" w:ascii="Times New Roman" w:hAnsi="Times New Roman" w:cs="Times New Roman"/>
                <w:color w:val="auto"/>
                <w:lang w:eastAsia="zh-CN"/>
              </w:rPr>
              <w:t>咸阳市渭城区张家湾村一组</w:t>
            </w:r>
            <w:r>
              <w:rPr>
                <w:rFonts w:hint="default" w:ascii="Times New Roman" w:hAnsi="Times New Roman" w:cs="Times New Roman"/>
                <w:color w:val="auto"/>
                <w:szCs w:val="24"/>
              </w:rPr>
              <w:t>。</w:t>
            </w:r>
            <w:r>
              <w:rPr>
                <w:rFonts w:hint="default" w:ascii="Times New Roman" w:hAnsi="Times New Roman" w:cs="Times New Roman"/>
                <w:color w:val="auto"/>
                <w:lang w:eastAsia="zh-CN"/>
              </w:rPr>
              <w:t>项目北侧为农田，西侧隔生产路为饲料厂，南侧为空地，东侧为陕西卓建永固建材有限公司</w:t>
            </w:r>
            <w:r>
              <w:rPr>
                <w:rFonts w:hint="default" w:ascii="Times New Roman" w:hAnsi="Times New Roman" w:cs="Times New Roman"/>
                <w:color w:val="auto"/>
              </w:rPr>
              <w:t>。建设内容主要包括生产区、</w:t>
            </w:r>
            <w:r>
              <w:rPr>
                <w:rFonts w:hint="default" w:ascii="Times New Roman" w:hAnsi="Times New Roman" w:cs="Times New Roman"/>
                <w:color w:val="auto"/>
                <w:lang w:eastAsia="zh-CN"/>
              </w:rPr>
              <w:t>生活区</w:t>
            </w:r>
            <w:r>
              <w:rPr>
                <w:rFonts w:hint="default" w:ascii="Times New Roman" w:hAnsi="Times New Roman" w:cs="Times New Roman"/>
                <w:color w:val="auto"/>
              </w:rPr>
              <w:t>，占地面积为</w:t>
            </w:r>
            <w:r>
              <w:rPr>
                <w:rFonts w:hint="default" w:ascii="Times New Roman" w:hAnsi="Times New Roman" w:cs="Times New Roman"/>
                <w:color w:val="auto"/>
                <w:lang w:val="en-US" w:eastAsia="zh-CN"/>
              </w:rPr>
              <w:t>21000</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w:t>
            </w:r>
            <w:r>
              <w:rPr>
                <w:rFonts w:hint="default" w:ascii="Times New Roman" w:hAnsi="Times New Roman" w:cs="Times New Roman"/>
                <w:color w:val="auto"/>
                <w:szCs w:val="24"/>
              </w:rPr>
              <w:t>建设年产</w:t>
            </w:r>
            <w:r>
              <w:rPr>
                <w:rFonts w:hint="default" w:ascii="Times New Roman" w:hAnsi="Times New Roman" w:cs="Times New Roman"/>
                <w:color w:val="auto"/>
                <w:szCs w:val="24"/>
                <w:lang w:val="en-US" w:eastAsia="zh-CN"/>
              </w:rPr>
              <w:t>30万立方预拌混凝土生产线</w:t>
            </w:r>
            <w:r>
              <w:rPr>
                <w:rFonts w:hint="default" w:ascii="Times New Roman" w:hAnsi="Times New Roman" w:cs="Times New Roman"/>
                <w:color w:val="auto"/>
                <w:szCs w:val="24"/>
              </w:rPr>
              <w:t>。</w:t>
            </w:r>
          </w:p>
          <w:p>
            <w:pPr>
              <w:pStyle w:val="7"/>
              <w:ind w:firstLine="480"/>
              <w:jc w:val="both"/>
              <w:rPr>
                <w:rFonts w:hint="default" w:ascii="Times New Roman" w:hAnsi="Times New Roman" w:cs="Times New Roman"/>
                <w:color w:val="auto"/>
              </w:rPr>
            </w:pPr>
            <w:r>
              <w:rPr>
                <w:rFonts w:hint="default" w:ascii="Times New Roman" w:hAnsi="Times New Roman" w:cs="Times New Roman"/>
                <w:color w:val="auto"/>
              </w:rPr>
              <w:t>项目实际总</w:t>
            </w:r>
            <w:r>
              <w:rPr>
                <w:rFonts w:hint="default" w:ascii="Times New Roman" w:hAnsi="Times New Roman" w:cs="Times New Roman"/>
                <w:color w:val="auto"/>
                <w:szCs w:val="24"/>
              </w:rPr>
              <w:t>投资</w:t>
            </w:r>
            <w:r>
              <w:rPr>
                <w:rFonts w:hint="default" w:ascii="Times New Roman" w:hAnsi="Times New Roman" w:cs="Times New Roman"/>
                <w:color w:val="auto"/>
                <w:lang w:val="en-US" w:eastAsia="zh-CN"/>
              </w:rPr>
              <w:t>1000</w:t>
            </w:r>
            <w:r>
              <w:rPr>
                <w:rFonts w:hint="default" w:ascii="Times New Roman" w:hAnsi="Times New Roman" w:cs="Times New Roman"/>
                <w:color w:val="auto"/>
              </w:rPr>
              <w:t>万元，其中</w:t>
            </w:r>
            <w:r>
              <w:rPr>
                <w:rFonts w:hint="default" w:ascii="Times New Roman" w:hAnsi="Times New Roman" w:cs="Times New Roman"/>
                <w:color w:val="auto"/>
                <w:lang w:eastAsia="zh-CN"/>
              </w:rPr>
              <w:t>固废</w:t>
            </w:r>
            <w:r>
              <w:rPr>
                <w:rFonts w:hint="default" w:ascii="Times New Roman" w:hAnsi="Times New Roman" w:cs="Times New Roman"/>
                <w:color w:val="auto"/>
              </w:rPr>
              <w:t>环保投资</w:t>
            </w:r>
            <w:r>
              <w:rPr>
                <w:rFonts w:hint="default" w:ascii="Times New Roman" w:hAnsi="Times New Roman" w:cs="Times New Roman"/>
                <w:color w:val="auto"/>
                <w:lang w:val="en-US" w:eastAsia="zh-CN"/>
              </w:rPr>
              <w:t>7.5</w:t>
            </w:r>
            <w:r>
              <w:rPr>
                <w:rFonts w:hint="default" w:ascii="Times New Roman" w:hAnsi="Times New Roman" w:cs="Times New Roman"/>
                <w:color w:val="auto"/>
              </w:rPr>
              <w:t>万元，占总投资</w:t>
            </w:r>
            <w:r>
              <w:rPr>
                <w:rFonts w:hint="default" w:ascii="Times New Roman" w:hAnsi="Times New Roman" w:cs="Times New Roman"/>
                <w:color w:val="auto"/>
                <w:lang w:val="en-US" w:eastAsia="zh-CN"/>
              </w:rPr>
              <w:t>0.75</w:t>
            </w:r>
            <w:r>
              <w:rPr>
                <w:rFonts w:hint="default" w:ascii="Times New Roman" w:hAnsi="Times New Roman" w:cs="Times New Roman"/>
                <w:color w:val="auto"/>
              </w:rPr>
              <w:t>%。</w:t>
            </w:r>
          </w:p>
          <w:p>
            <w:pPr>
              <w:pStyle w:val="7"/>
              <w:ind w:firstLine="480"/>
              <w:jc w:val="both"/>
              <w:rPr>
                <w:rFonts w:hint="default" w:ascii="Times New Roman" w:hAnsi="Times New Roman" w:cs="Times New Roman"/>
                <w:color w:val="auto"/>
              </w:rPr>
            </w:pPr>
            <w:r>
              <w:rPr>
                <w:rFonts w:hint="default" w:ascii="Times New Roman" w:hAnsi="Times New Roman" w:cs="Times New Roman"/>
                <w:color w:val="auto"/>
                <w:szCs w:val="24"/>
              </w:rPr>
              <w:t>本次验收内容为项目</w:t>
            </w:r>
            <w:r>
              <w:rPr>
                <w:rFonts w:hint="default" w:ascii="Times New Roman" w:hAnsi="Times New Roman" w:cs="Times New Roman"/>
                <w:color w:val="auto"/>
                <w:szCs w:val="24"/>
                <w:lang w:eastAsia="zh-CN"/>
              </w:rPr>
              <w:t>固废</w:t>
            </w:r>
            <w:r>
              <w:rPr>
                <w:rFonts w:hint="default" w:ascii="Times New Roman" w:hAnsi="Times New Roman" w:cs="Times New Roman"/>
                <w:color w:val="auto"/>
                <w:szCs w:val="24"/>
              </w:rPr>
              <w:t>污染防治设施竣工环境保护验收。</w:t>
            </w:r>
          </w:p>
          <w:p>
            <w:pPr>
              <w:pStyle w:val="4"/>
              <w:ind w:left="0" w:leftChars="0"/>
              <w:rPr>
                <w:rFonts w:hint="default" w:ascii="Times New Roman" w:hAnsi="Times New Roman" w:cs="Times New Roman"/>
                <w:color w:val="auto"/>
              </w:rPr>
            </w:pPr>
            <w:r>
              <w:rPr>
                <w:rFonts w:hint="default" w:ascii="Times New Roman" w:hAnsi="Times New Roman" w:cs="Times New Roman"/>
                <w:color w:val="auto"/>
              </w:rPr>
              <w:t>2、固体废物</w:t>
            </w:r>
          </w:p>
          <w:p>
            <w:pPr>
              <w:pStyle w:val="7"/>
              <w:ind w:firstLine="480"/>
              <w:rPr>
                <w:rFonts w:hint="default" w:ascii="Times New Roman" w:hAnsi="Times New Roman" w:cs="Times New Roman"/>
                <w:color w:val="auto"/>
                <w:szCs w:val="24"/>
              </w:rPr>
            </w:pPr>
            <w:r>
              <w:rPr>
                <w:rFonts w:hint="default" w:ascii="Times New Roman" w:hAnsi="Times New Roman" w:cs="Times New Roman"/>
                <w:color w:val="auto"/>
                <w:szCs w:val="24"/>
              </w:rPr>
              <w:t>厂区设垃圾桶，将生活垃圾集中收集后送至当地环卫部门指定堆存地点；</w:t>
            </w:r>
            <w:r>
              <w:rPr>
                <w:rFonts w:hint="default" w:ascii="Times New Roman" w:hAnsi="Times New Roman" w:cs="Times New Roman"/>
                <w:color w:val="auto"/>
                <w:lang w:eastAsia="zh-CN"/>
              </w:rPr>
              <w:t>废砂石</w:t>
            </w:r>
            <w:r>
              <w:rPr>
                <w:rFonts w:hint="default" w:ascii="Times New Roman" w:hAnsi="Times New Roman" w:cs="Times New Roman"/>
                <w:color w:val="auto"/>
              </w:rPr>
              <w:t>暂存于筛分固废储存间，由西咸新区江源保洁服务公司运至合法垃圾处理厂</w:t>
            </w:r>
            <w:r>
              <w:rPr>
                <w:rFonts w:hint="default" w:ascii="Times New Roman" w:hAnsi="Times New Roman" w:cs="Times New Roman"/>
                <w:color w:val="auto"/>
                <w:lang w:eastAsia="zh-CN"/>
              </w:rPr>
              <w:t>；除尘灰</w:t>
            </w:r>
            <w:r>
              <w:rPr>
                <w:rFonts w:hint="default" w:ascii="Times New Roman" w:hAnsi="Times New Roman" w:cs="Times New Roman"/>
                <w:color w:val="auto"/>
              </w:rPr>
              <w:t>收集后回用于生产工序；</w:t>
            </w:r>
            <w:r>
              <w:rPr>
                <w:rFonts w:hint="default" w:ascii="Times New Roman" w:hAnsi="Times New Roman" w:cs="Times New Roman"/>
                <w:color w:val="auto"/>
                <w:szCs w:val="24"/>
              </w:rPr>
              <w:t>设备机油更换产生的废机油暂存于危废暂存间，委托有处理资质的单位处置。固体废弃物100%合理处置。不会对环境造成影响。</w:t>
            </w:r>
          </w:p>
          <w:p>
            <w:pPr>
              <w:pStyle w:val="4"/>
              <w:ind w:left="0" w:leftChars="0"/>
              <w:rPr>
                <w:rFonts w:hint="default" w:ascii="Times New Roman" w:hAnsi="Times New Roman" w:cs="Times New Roman"/>
                <w:color w:val="auto"/>
                <w:szCs w:val="24"/>
              </w:rPr>
            </w:pPr>
            <w:r>
              <w:rPr>
                <w:rFonts w:hint="default" w:ascii="Times New Roman" w:hAnsi="Times New Roman" w:cs="Times New Roman"/>
                <w:color w:val="auto"/>
                <w:lang w:val="en-US" w:eastAsia="zh-CN"/>
              </w:rPr>
              <w:t>3</w:t>
            </w:r>
            <w:r>
              <w:rPr>
                <w:rFonts w:hint="default" w:ascii="Times New Roman" w:hAnsi="Times New Roman" w:cs="Times New Roman"/>
                <w:color w:val="auto"/>
              </w:rPr>
              <w:t>、环境检查落实情况</w:t>
            </w:r>
          </w:p>
          <w:p>
            <w:pPr>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将现场检查，项目环评批复及环评结论、要求及建议基本落实，且项目在建设和试生产期间未发生扰民和污染事故，无环境投诉，未受到当地环保部门处罚。</w:t>
            </w:r>
          </w:p>
          <w:p>
            <w:pPr>
              <w:ind w:firstLine="480" w:firstLineChars="200"/>
              <w:rPr>
                <w:rFonts w:hint="default" w:ascii="Times New Roman" w:hAnsi="Times New Roman" w:cs="Times New Roman"/>
                <w:b/>
                <w:color w:val="auto"/>
              </w:rPr>
            </w:pPr>
            <w:r>
              <w:rPr>
                <w:rFonts w:hint="default" w:ascii="Times New Roman" w:hAnsi="Times New Roman" w:cs="Times New Roman"/>
                <w:color w:val="auto"/>
                <w:szCs w:val="24"/>
              </w:rPr>
              <w:t>企业设有环境保护机构和管理人员，建立了环境保护管理制度，落实环境监测计划。</w:t>
            </w:r>
          </w:p>
          <w:p>
            <w:pPr>
              <w:pStyle w:val="7"/>
              <w:ind w:firstLine="0" w:firstLineChars="0"/>
              <w:jc w:val="both"/>
              <w:rPr>
                <w:rFonts w:hint="default" w:ascii="Times New Roman" w:hAnsi="Times New Roman" w:cs="Times New Roman"/>
                <w:b/>
                <w:color w:val="auto"/>
                <w:szCs w:val="24"/>
              </w:rPr>
            </w:pPr>
            <w:r>
              <w:rPr>
                <w:rFonts w:hint="default" w:ascii="Times New Roman" w:hAnsi="Times New Roman" w:cs="Times New Roman"/>
                <w:b/>
                <w:color w:val="auto"/>
                <w:lang w:val="en-US" w:eastAsia="zh-CN"/>
              </w:rPr>
              <w:t>5</w:t>
            </w:r>
            <w:r>
              <w:rPr>
                <w:rFonts w:hint="default" w:ascii="Times New Roman" w:hAnsi="Times New Roman" w:cs="Times New Roman"/>
                <w:b/>
                <w:color w:val="auto"/>
              </w:rPr>
              <w:t>、总结论</w:t>
            </w:r>
          </w:p>
          <w:p>
            <w:pPr>
              <w:pStyle w:val="7"/>
              <w:ind w:firstLine="480"/>
              <w:jc w:val="both"/>
              <w:rPr>
                <w:rFonts w:hint="default" w:ascii="Times New Roman" w:hAnsi="Times New Roman" w:cs="Times New Roman"/>
                <w:color w:val="auto"/>
              </w:rPr>
            </w:pPr>
            <w:r>
              <w:rPr>
                <w:rFonts w:hint="default" w:ascii="Times New Roman" w:hAnsi="Times New Roman" w:cs="Times New Roman"/>
                <w:b/>
                <w:bCs/>
                <w:color w:val="auto"/>
              </w:rPr>
              <w:t>项目建成的</w:t>
            </w:r>
            <w:r>
              <w:rPr>
                <w:rFonts w:hint="default" w:ascii="Times New Roman" w:hAnsi="Times New Roman" w:cs="Times New Roman"/>
                <w:b/>
                <w:bCs/>
                <w:color w:val="auto"/>
                <w:lang w:eastAsia="zh-CN"/>
              </w:rPr>
              <w:t>年产经营30万立法米预拌混凝土项目</w:t>
            </w:r>
            <w:r>
              <w:rPr>
                <w:rFonts w:hint="default" w:ascii="Times New Roman" w:hAnsi="Times New Roman" w:cs="Times New Roman"/>
                <w:b/>
                <w:bCs/>
                <w:color w:val="auto"/>
              </w:rPr>
              <w:t>落实了环境影响评价报告表和环评批复的相关要求，并设有环境保护机构和管理人员，建立了环保管理制度，监测和检查结果表明，</w:t>
            </w:r>
            <w:r>
              <w:rPr>
                <w:rFonts w:hint="default" w:ascii="Times New Roman" w:hAnsi="Times New Roman" w:cs="Times New Roman"/>
                <w:b/>
                <w:bCs/>
                <w:color w:val="auto"/>
                <w:lang w:eastAsia="zh-CN"/>
              </w:rPr>
              <w:t>固体废物全部合理处置</w:t>
            </w:r>
            <w:r>
              <w:rPr>
                <w:rFonts w:hint="default" w:ascii="Times New Roman" w:hAnsi="Times New Roman" w:cs="Times New Roman"/>
                <w:b/>
                <w:bCs/>
                <w:color w:val="auto"/>
              </w:rPr>
              <w:t>，符合竣工环境保护验收条件。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369" w:hRule="atLeast"/>
          <w:jc w:val="center"/>
        </w:trPr>
        <w:tc>
          <w:tcPr>
            <w:tcW w:w="8924" w:type="dxa"/>
            <w:vAlign w:val="top"/>
          </w:tcPr>
          <w:p>
            <w:pPr>
              <w:spacing w:before="62" w:beforeLines="20"/>
              <w:rPr>
                <w:rFonts w:hint="default" w:ascii="Times New Roman" w:hAnsi="Times New Roman" w:cs="Times New Roman"/>
                <w:b/>
                <w:bCs/>
                <w:color w:val="auto"/>
              </w:rPr>
            </w:pPr>
            <w:r>
              <w:rPr>
                <w:rFonts w:hint="default" w:ascii="Times New Roman" w:hAnsi="Times New Roman" w:cs="Times New Roman"/>
                <w:b/>
                <w:bCs/>
                <w:color w:val="auto"/>
              </w:rPr>
              <w:t>建议：</w:t>
            </w:r>
          </w:p>
          <w:p>
            <w:pPr>
              <w:pStyle w:val="7"/>
              <w:keepNext w:val="0"/>
              <w:keepLines w:val="0"/>
              <w:pageBreakBefore w:val="0"/>
              <w:widowControl/>
              <w:numPr>
                <w:ilvl w:val="0"/>
                <w:numId w:val="7"/>
              </w:numPr>
              <w:kinsoku/>
              <w:wordWrap/>
              <w:overflowPunct/>
              <w:topLinePunct w:val="0"/>
              <w:autoSpaceDE/>
              <w:autoSpaceDN/>
              <w:bidi w:val="0"/>
              <w:adjustRightInd w:val="0"/>
              <w:snapToGrid w:val="0"/>
              <w:ind w:firstLine="480" w:firstLineChars="200"/>
              <w:jc w:val="both"/>
              <w:textAlignment w:val="auto"/>
              <w:rPr>
                <w:rFonts w:hint="default" w:ascii="Times New Roman" w:hAnsi="Times New Roman" w:cs="Times New Roman"/>
                <w:color w:val="auto"/>
                <w:szCs w:val="24"/>
              </w:rPr>
            </w:pPr>
            <w:r>
              <w:rPr>
                <w:rFonts w:hint="default" w:ascii="Times New Roman" w:hAnsi="Times New Roman" w:cs="Times New Roman"/>
                <w:color w:val="auto"/>
                <w:szCs w:val="24"/>
              </w:rPr>
              <w:t>加强污染防治设施的巡检维修与保养，确保设施处于完好状态。</w:t>
            </w:r>
          </w:p>
          <w:p>
            <w:pPr>
              <w:pStyle w:val="7"/>
              <w:keepNext w:val="0"/>
              <w:keepLines w:val="0"/>
              <w:pageBreakBefore w:val="0"/>
              <w:widowControl/>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2、</w:t>
            </w:r>
            <w:r>
              <w:rPr>
                <w:rFonts w:hint="default" w:ascii="Times New Roman" w:hAnsi="Times New Roman" w:cs="Times New Roman"/>
                <w:color w:val="auto"/>
              </w:rPr>
              <w:t>做好危险废物的收集、暂存、转移和委托处置，严格执行危险废物台账和转移联单制度，定期自查危险废物环保事项落实情况</w:t>
            </w:r>
            <w:r>
              <w:rPr>
                <w:rFonts w:hint="default" w:ascii="Times New Roman" w:hAnsi="Times New Roman" w:cs="Times New Roman"/>
                <w:color w:val="auto"/>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rPr>
            </w:pPr>
            <w:r>
              <w:rPr>
                <w:rFonts w:hint="default" w:ascii="Times New Roman" w:hAnsi="Times New Roman" w:cs="Times New Roman"/>
                <w:b w:val="0"/>
                <w:bCs w:val="0"/>
                <w:color w:val="auto"/>
                <w:sz w:val="24"/>
                <w:lang w:val="en-US" w:eastAsia="zh-CN"/>
              </w:rPr>
              <w:t>3、</w:t>
            </w:r>
            <w:r>
              <w:rPr>
                <w:rFonts w:hint="default" w:ascii="Times New Roman" w:hAnsi="Times New Roman" w:cs="Times New Roman"/>
                <w:b w:val="0"/>
                <w:bCs w:val="0"/>
                <w:color w:val="auto"/>
                <w:sz w:val="24"/>
              </w:rPr>
              <w:t>建立健全各种生产环保规章制度，加强职工环保知识教育</w:t>
            </w:r>
            <w:r>
              <w:rPr>
                <w:rFonts w:hint="default" w:ascii="Times New Roman" w:hAnsi="Times New Roman" w:cs="Times New Roman"/>
                <w:b w:val="0"/>
                <w:bCs w:val="0"/>
                <w:color w:val="auto"/>
                <w:sz w:val="24"/>
                <w:lang w:eastAsia="zh-CN"/>
              </w:rPr>
              <w:t>。</w:t>
            </w:r>
          </w:p>
          <w:p>
            <w:pPr>
              <w:pStyle w:val="7"/>
              <w:ind w:firstLine="0" w:firstLineChars="0"/>
              <w:jc w:val="both"/>
              <w:rPr>
                <w:rFonts w:hint="default" w:ascii="Times New Roman" w:hAnsi="Times New Roman" w:cs="Times New Roman"/>
                <w:b/>
                <w:bCs/>
                <w:color w:val="auto"/>
              </w:rPr>
            </w:pPr>
          </w:p>
        </w:tc>
      </w:tr>
    </w:tbl>
    <w:p>
      <w:pPr>
        <w:rPr>
          <w:rFonts w:hint="default" w:ascii="Times New Roman" w:hAnsi="Times New Roman" w:cs="Times New Roman"/>
          <w:color w:val="auto"/>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AngsanaUPC">
    <w:panose1 w:val="02020603050405020304"/>
    <w:charset w:val="00"/>
    <w:family w:val="roman"/>
    <w:pitch w:val="default"/>
    <w:sig w:usb0="81000003" w:usb1="00000000" w:usb2="00000000" w:usb3="00000000" w:csb0="00010001" w:csb1="00000000"/>
  </w:font>
  <w:font w:name="MingLiU">
    <w:panose1 w:val="02020509000000000000"/>
    <w:charset w:val="88"/>
    <w:family w:val="modern"/>
    <w:pitch w:val="default"/>
    <w:sig w:usb0="A00002FF" w:usb1="28CFFCFA" w:usb2="00000016" w:usb3="00000000" w:csb0="00100001" w:csb1="00000000"/>
  </w:font>
  <w:font w:name="Constantia">
    <w:panose1 w:val="02030602050306030303"/>
    <w:charset w:val="00"/>
    <w:family w:val="roman"/>
    <w:pitch w:val="default"/>
    <w:sig w:usb0="A00002EF" w:usb1="4000204B"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jc w:val="both"/>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405765" cy="222250"/>
              <wp:effectExtent l="0" t="0" r="0" b="0"/>
              <wp:wrapNone/>
              <wp:docPr id="1" name="文本框 1025"/>
              <wp:cNvGraphicFramePr/>
              <a:graphic xmlns:a="http://schemas.openxmlformats.org/drawingml/2006/main">
                <a:graphicData uri="http://schemas.microsoft.com/office/word/2010/wordprocessingShape">
                  <wps:wsp>
                    <wps:cNvSpPr txBox="1">
                      <a:spLocks noChangeArrowheads="1"/>
                    </wps:cNvSpPr>
                    <wps:spPr bwMode="auto">
                      <a:xfrm>
                        <a:off x="0" y="0"/>
                        <a:ext cx="405765" cy="222250"/>
                      </a:xfrm>
                      <a:prstGeom prst="rect">
                        <a:avLst/>
                      </a:prstGeom>
                      <a:noFill/>
                      <a:ln>
                        <a:noFill/>
                      </a:ln>
                    </wps:spPr>
                    <wps:txbx>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r>
                            <w:rPr>
                              <w:rFonts w:hint="eastAsia"/>
                            </w:rPr>
                            <w:t xml:space="preserve"> 页</w:t>
                          </w:r>
                        </w:p>
                      </w:txbxContent>
                    </wps:txbx>
                    <wps:bodyPr rot="0" vert="horz" wrap="none" lIns="0" tIns="0" rIns="0" bIns="0" anchor="t" anchorCtr="0" upright="1">
                      <a:spAutoFit/>
                    </wps:bodyPr>
                  </wps:wsp>
                </a:graphicData>
              </a:graphic>
            </wp:anchor>
          </w:drawing>
        </mc:Choice>
        <mc:Fallback>
          <w:pict>
            <v:shape id="文本框 1025" o:spid="_x0000_s1026" o:spt="202" type="#_x0000_t202" style="position:absolute;left:0pt;margin-top:0pt;height:17.5pt;width:31.95pt;mso-position-horizontal:center;mso-position-horizontal-relative:margin;mso-wrap-style:none;z-index:251658240;mso-width-relative:page;mso-height-relative:page;" filled="f" stroked="f" coordsize="21600,21600" o:gfxdata="UEsDBAoAAAAAAIdO4kAAAAAAAAAAAAAAAAAEAAAAZHJzL1BLAwQUAAAACACHTuJAcQ2FiNEAAAAD&#10;AQAADwAAAGRycy9kb3ducmV2LnhtbE2PwU7DMBBE70j8g7VI3KhdKkoJcXqoxIUbBVXito23cYS9&#10;jmw3Tf4ewwUuK41mNPO23k7eiZFi6gNrWC4UCOI2mJ47DR/vL3cbECkjG3SBScNMCbbN9VWNlQkX&#10;fqNxnztRSjhVqMHmPFRSptaSx7QIA3HxTiF6zEXGTpqIl1LunbxXai099lwWLA60s9R+7c9ew+N0&#10;CDQk2tHnaWyj7eeNe521vr1ZqmcQmab8F4Yf/IIOTWE6hjObJJyG8kj+vcVbr55AHDWsHhTIppb/&#10;2ZtvUEsDBBQAAAAIAIdO4kDJ3+CX8AEAALcDAAAOAAAAZHJzL2Uyb0RvYy54bWytU82O0zAQviPx&#10;DpbvNGlFFxQ1XS27KkJafqSFB3AdJ7GIPdbYbVIeAN6AExfuPFefg7HTdHfhhsjBGtszn7/55svq&#10;cjAd2yv0GmzJ57OcM2UlVNo2Jf/0cfPsJWc+CFuJDqwq+UF5frl++mTVu0ItoIWuUsgIxPqidyVv&#10;Q3BFlnnZKiP8DJyydFkDGhFoi01WoegJ3XTZIs8vsh6wcghSeU+nN+MlXyf8ulYyvK9rrwLrSk7c&#10;Qloxrdu4ZuuVKBoUrtXyREP8AwsjtKVHz1A3Igi2Q/0XlNESwUMdZhJMBnWtpUo9UDfz/I9u7lrh&#10;VOqFxPHuLJP/f7Dy3f4DMl3R7DizwtCIjt+/HX/8Ov78yub5YhkV6p0vKPHOUWoYXsEQs2O33t2C&#10;/OyZhetW2EZdIULfKlERw3mszB6Ujjg+gmz7t1DRU2IXIAENNZoISIIwQqdJHc7TUUNgkg6f58sX&#10;F0vOJF0t6Fum6WWimIod+vBagWExKDnS8BO42N/6EMmIYkqJb1nY6K5LBujsowNKjCeJfOQ7Mg/D&#10;djiJsYXqQG0gjH4i/1PQAn7hrCcvldyS2Tnr3lgSItpuCnAKtlMgrKTCkgfOxvA6jPbcOdRNS7iT&#10;1Fck1kanRqKqI4cTS3JH6u/k5Gi/h/uUdf+/r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Q2F&#10;iNEAAAADAQAADwAAAAAAAAABACAAAAAiAAAAZHJzL2Rvd25yZXYueG1sUEsBAhQAFAAAAAgAh07i&#10;QMnf4JfwAQAAtwMAAA4AAAAAAAAAAQAgAAAAIAEAAGRycy9lMm9Eb2MueG1sUEsFBgAAAAAGAAYA&#10;WQEAAIIFAAAAAA==&#10;">
              <v:fill on="f" focussize="0,0"/>
              <v:stroke on="f"/>
              <v:imagedata o:title=""/>
              <o:lock v:ext="edit" aspectratio="f"/>
              <v:textbox inset="0mm,0mm,0mm,0mm" style="mso-fit-shape-to-text:t;">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r>
                      <w:rPr>
                        <w:rFonts w:hint="eastAsia"/>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3EDFCB"/>
    <w:multiLevelType w:val="singleLevel"/>
    <w:tmpl w:val="853EDFCB"/>
    <w:lvl w:ilvl="0" w:tentative="0">
      <w:start w:val="1"/>
      <w:numFmt w:val="decimal"/>
      <w:suff w:val="nothing"/>
      <w:lvlText w:val="%1、"/>
      <w:lvlJc w:val="left"/>
    </w:lvl>
  </w:abstractNum>
  <w:abstractNum w:abstractNumId="1">
    <w:nsid w:val="89884502"/>
    <w:multiLevelType w:val="singleLevel"/>
    <w:tmpl w:val="89884502"/>
    <w:lvl w:ilvl="0" w:tentative="0">
      <w:start w:val="2"/>
      <w:numFmt w:val="chineseCounting"/>
      <w:suff w:val="nothing"/>
      <w:lvlText w:val="%1、"/>
      <w:lvlJc w:val="left"/>
      <w:rPr>
        <w:rFonts w:hint="eastAsia"/>
      </w:rPr>
    </w:lvl>
  </w:abstractNum>
  <w:abstractNum w:abstractNumId="2">
    <w:nsid w:val="CAEBF7DC"/>
    <w:multiLevelType w:val="singleLevel"/>
    <w:tmpl w:val="CAEBF7DC"/>
    <w:lvl w:ilvl="0" w:tentative="0">
      <w:start w:val="1"/>
      <w:numFmt w:val="decimal"/>
      <w:suff w:val="nothing"/>
      <w:lvlText w:val="%1、"/>
      <w:lvlJc w:val="left"/>
    </w:lvl>
  </w:abstractNum>
  <w:abstractNum w:abstractNumId="3">
    <w:nsid w:val="23BF3A04"/>
    <w:multiLevelType w:val="singleLevel"/>
    <w:tmpl w:val="23BF3A04"/>
    <w:lvl w:ilvl="0" w:tentative="0">
      <w:start w:val="1"/>
      <w:numFmt w:val="decimal"/>
      <w:suff w:val="nothing"/>
      <w:lvlText w:val="%1、"/>
      <w:lvlJc w:val="left"/>
    </w:lvl>
  </w:abstractNum>
  <w:abstractNum w:abstractNumId="4">
    <w:nsid w:val="5A604F91"/>
    <w:multiLevelType w:val="multilevel"/>
    <w:tmpl w:val="5A604F91"/>
    <w:lvl w:ilvl="0" w:tentative="0">
      <w:start w:val="1"/>
      <w:numFmt w:val="decimal"/>
      <w:suff w:val="nothing"/>
      <w:lvlText w:val="（%1）"/>
      <w:lvlJc w:val="left"/>
      <w:pPr>
        <w:tabs>
          <w:tab w:val="left" w:pos="0"/>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790E8E33"/>
    <w:multiLevelType w:val="singleLevel"/>
    <w:tmpl w:val="790E8E33"/>
    <w:lvl w:ilvl="0" w:tentative="0">
      <w:start w:val="1"/>
      <w:numFmt w:val="decimal"/>
      <w:suff w:val="nothing"/>
      <w:lvlText w:val="（%1）"/>
      <w:lvlJc w:val="left"/>
    </w:lvl>
  </w:abstractNum>
  <w:abstractNum w:abstractNumId="6">
    <w:nsid w:val="7E6D1406"/>
    <w:multiLevelType w:val="singleLevel"/>
    <w:tmpl w:val="7E6D1406"/>
    <w:lvl w:ilvl="0" w:tentative="0">
      <w:start w:val="1"/>
      <w:numFmt w:val="decimal"/>
      <w:suff w:val="nothing"/>
      <w:lvlText w:val="%1、"/>
      <w:lvlJc w:val="left"/>
    </w:lvl>
  </w:abstractNum>
  <w:num w:numId="1">
    <w:abstractNumId w:val="4"/>
  </w:num>
  <w:num w:numId="2">
    <w:abstractNumId w:val="6"/>
  </w:num>
  <w:num w:numId="3">
    <w:abstractNumId w:val="0"/>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971DE3"/>
    <w:rsid w:val="000018FC"/>
    <w:rsid w:val="00003DBC"/>
    <w:rsid w:val="0000681E"/>
    <w:rsid w:val="000108EE"/>
    <w:rsid w:val="000113A8"/>
    <w:rsid w:val="00013F5C"/>
    <w:rsid w:val="00017AE3"/>
    <w:rsid w:val="00017B43"/>
    <w:rsid w:val="00022F08"/>
    <w:rsid w:val="000363CE"/>
    <w:rsid w:val="000363D8"/>
    <w:rsid w:val="0004056A"/>
    <w:rsid w:val="00042812"/>
    <w:rsid w:val="00043EA1"/>
    <w:rsid w:val="00051E71"/>
    <w:rsid w:val="00052212"/>
    <w:rsid w:val="0006260D"/>
    <w:rsid w:val="00067BD7"/>
    <w:rsid w:val="00070931"/>
    <w:rsid w:val="0007262C"/>
    <w:rsid w:val="00076756"/>
    <w:rsid w:val="0007710D"/>
    <w:rsid w:val="00083EC4"/>
    <w:rsid w:val="00085BB7"/>
    <w:rsid w:val="00090B87"/>
    <w:rsid w:val="00092303"/>
    <w:rsid w:val="000947B1"/>
    <w:rsid w:val="00095511"/>
    <w:rsid w:val="000C1872"/>
    <w:rsid w:val="000C1A66"/>
    <w:rsid w:val="000C45AC"/>
    <w:rsid w:val="000C4B3C"/>
    <w:rsid w:val="000C7575"/>
    <w:rsid w:val="000D1DAE"/>
    <w:rsid w:val="000D24D1"/>
    <w:rsid w:val="000D2F6C"/>
    <w:rsid w:val="000E0C3A"/>
    <w:rsid w:val="000E4EA4"/>
    <w:rsid w:val="000F0E03"/>
    <w:rsid w:val="000F4F5D"/>
    <w:rsid w:val="000F77D8"/>
    <w:rsid w:val="00101055"/>
    <w:rsid w:val="0010540D"/>
    <w:rsid w:val="00106A2C"/>
    <w:rsid w:val="001078BE"/>
    <w:rsid w:val="00110406"/>
    <w:rsid w:val="00110A86"/>
    <w:rsid w:val="001130F2"/>
    <w:rsid w:val="00117CD1"/>
    <w:rsid w:val="0012051F"/>
    <w:rsid w:val="00123048"/>
    <w:rsid w:val="00123724"/>
    <w:rsid w:val="001254ED"/>
    <w:rsid w:val="001269ED"/>
    <w:rsid w:val="00126D5B"/>
    <w:rsid w:val="00132B08"/>
    <w:rsid w:val="0013487C"/>
    <w:rsid w:val="00141837"/>
    <w:rsid w:val="001419AA"/>
    <w:rsid w:val="001457EE"/>
    <w:rsid w:val="0014630E"/>
    <w:rsid w:val="00147DDA"/>
    <w:rsid w:val="00160CC3"/>
    <w:rsid w:val="00162C3B"/>
    <w:rsid w:val="00164D8A"/>
    <w:rsid w:val="001664B8"/>
    <w:rsid w:val="00167067"/>
    <w:rsid w:val="00167583"/>
    <w:rsid w:val="0017044C"/>
    <w:rsid w:val="00175CFB"/>
    <w:rsid w:val="00190DF7"/>
    <w:rsid w:val="00191286"/>
    <w:rsid w:val="00191341"/>
    <w:rsid w:val="001927C6"/>
    <w:rsid w:val="00192D7E"/>
    <w:rsid w:val="001A118D"/>
    <w:rsid w:val="001A15D2"/>
    <w:rsid w:val="001B0C52"/>
    <w:rsid w:val="001B4D28"/>
    <w:rsid w:val="001C3BA9"/>
    <w:rsid w:val="001C6D5D"/>
    <w:rsid w:val="001E1582"/>
    <w:rsid w:val="001E2173"/>
    <w:rsid w:val="001F57F4"/>
    <w:rsid w:val="00200839"/>
    <w:rsid w:val="00203CCE"/>
    <w:rsid w:val="002054C2"/>
    <w:rsid w:val="00206AD6"/>
    <w:rsid w:val="002230E8"/>
    <w:rsid w:val="00223BD1"/>
    <w:rsid w:val="00226733"/>
    <w:rsid w:val="002270EE"/>
    <w:rsid w:val="002331BE"/>
    <w:rsid w:val="00233D2D"/>
    <w:rsid w:val="00234D99"/>
    <w:rsid w:val="00235C6D"/>
    <w:rsid w:val="00242316"/>
    <w:rsid w:val="00246383"/>
    <w:rsid w:val="002517DE"/>
    <w:rsid w:val="002610EC"/>
    <w:rsid w:val="00261EFB"/>
    <w:rsid w:val="0027021F"/>
    <w:rsid w:val="00281ECA"/>
    <w:rsid w:val="00281FFD"/>
    <w:rsid w:val="0028401F"/>
    <w:rsid w:val="00286791"/>
    <w:rsid w:val="002925B9"/>
    <w:rsid w:val="002A14BF"/>
    <w:rsid w:val="002A7AB5"/>
    <w:rsid w:val="002B33E3"/>
    <w:rsid w:val="002B3A16"/>
    <w:rsid w:val="002B7450"/>
    <w:rsid w:val="002B7F2E"/>
    <w:rsid w:val="002C021F"/>
    <w:rsid w:val="002C0EA7"/>
    <w:rsid w:val="002C0F5D"/>
    <w:rsid w:val="002C34AC"/>
    <w:rsid w:val="002C7178"/>
    <w:rsid w:val="002C7912"/>
    <w:rsid w:val="002C7956"/>
    <w:rsid w:val="002D307C"/>
    <w:rsid w:val="002D599D"/>
    <w:rsid w:val="002D68B6"/>
    <w:rsid w:val="002D70BD"/>
    <w:rsid w:val="002E0C24"/>
    <w:rsid w:val="002E1A10"/>
    <w:rsid w:val="002E420A"/>
    <w:rsid w:val="002F45CE"/>
    <w:rsid w:val="002F4A63"/>
    <w:rsid w:val="002F5210"/>
    <w:rsid w:val="002F593B"/>
    <w:rsid w:val="0030325F"/>
    <w:rsid w:val="00304A71"/>
    <w:rsid w:val="00307A15"/>
    <w:rsid w:val="003167BB"/>
    <w:rsid w:val="003178D9"/>
    <w:rsid w:val="003205EE"/>
    <w:rsid w:val="003245FC"/>
    <w:rsid w:val="003273B3"/>
    <w:rsid w:val="0033302D"/>
    <w:rsid w:val="00341B22"/>
    <w:rsid w:val="00344387"/>
    <w:rsid w:val="00347D9A"/>
    <w:rsid w:val="00355890"/>
    <w:rsid w:val="003601D4"/>
    <w:rsid w:val="00361101"/>
    <w:rsid w:val="00362A58"/>
    <w:rsid w:val="0037367B"/>
    <w:rsid w:val="003802A1"/>
    <w:rsid w:val="003808CE"/>
    <w:rsid w:val="00380BDD"/>
    <w:rsid w:val="00382E06"/>
    <w:rsid w:val="00382E66"/>
    <w:rsid w:val="0038446C"/>
    <w:rsid w:val="00392C38"/>
    <w:rsid w:val="0039788F"/>
    <w:rsid w:val="003979AE"/>
    <w:rsid w:val="003A2413"/>
    <w:rsid w:val="003A2AFE"/>
    <w:rsid w:val="003A6005"/>
    <w:rsid w:val="003B6406"/>
    <w:rsid w:val="003C10BB"/>
    <w:rsid w:val="003C293F"/>
    <w:rsid w:val="003C449E"/>
    <w:rsid w:val="003C775F"/>
    <w:rsid w:val="003E0116"/>
    <w:rsid w:val="003E14B3"/>
    <w:rsid w:val="003E498B"/>
    <w:rsid w:val="003F5F1B"/>
    <w:rsid w:val="003F6E1F"/>
    <w:rsid w:val="0040037D"/>
    <w:rsid w:val="004009B7"/>
    <w:rsid w:val="00400A95"/>
    <w:rsid w:val="00404179"/>
    <w:rsid w:val="0040524D"/>
    <w:rsid w:val="0040699E"/>
    <w:rsid w:val="00406B5A"/>
    <w:rsid w:val="00415287"/>
    <w:rsid w:val="004173D1"/>
    <w:rsid w:val="00423038"/>
    <w:rsid w:val="00432216"/>
    <w:rsid w:val="00434EBA"/>
    <w:rsid w:val="0043655C"/>
    <w:rsid w:val="00441D79"/>
    <w:rsid w:val="004436F7"/>
    <w:rsid w:val="004476EF"/>
    <w:rsid w:val="00455035"/>
    <w:rsid w:val="004564B1"/>
    <w:rsid w:val="00460987"/>
    <w:rsid w:val="00460A19"/>
    <w:rsid w:val="0046153C"/>
    <w:rsid w:val="00463738"/>
    <w:rsid w:val="004669CA"/>
    <w:rsid w:val="004722AE"/>
    <w:rsid w:val="00474C12"/>
    <w:rsid w:val="00495B38"/>
    <w:rsid w:val="00497574"/>
    <w:rsid w:val="004A02F0"/>
    <w:rsid w:val="004A4CEA"/>
    <w:rsid w:val="004A4E06"/>
    <w:rsid w:val="004B0D99"/>
    <w:rsid w:val="004B44D0"/>
    <w:rsid w:val="004C11CA"/>
    <w:rsid w:val="004C1FD3"/>
    <w:rsid w:val="004C200E"/>
    <w:rsid w:val="004C4832"/>
    <w:rsid w:val="004D1C3C"/>
    <w:rsid w:val="004D2E0F"/>
    <w:rsid w:val="004D307D"/>
    <w:rsid w:val="004D55D3"/>
    <w:rsid w:val="004D7F87"/>
    <w:rsid w:val="004E0EC3"/>
    <w:rsid w:val="004E201B"/>
    <w:rsid w:val="004E4490"/>
    <w:rsid w:val="004E5338"/>
    <w:rsid w:val="004E5B64"/>
    <w:rsid w:val="004E7AD5"/>
    <w:rsid w:val="004F09DC"/>
    <w:rsid w:val="004F6E5D"/>
    <w:rsid w:val="00502573"/>
    <w:rsid w:val="00516AFA"/>
    <w:rsid w:val="005204E5"/>
    <w:rsid w:val="005204F7"/>
    <w:rsid w:val="00520D6E"/>
    <w:rsid w:val="005245D8"/>
    <w:rsid w:val="00524F8A"/>
    <w:rsid w:val="005304DC"/>
    <w:rsid w:val="0053170F"/>
    <w:rsid w:val="00532258"/>
    <w:rsid w:val="0053337B"/>
    <w:rsid w:val="005335DB"/>
    <w:rsid w:val="00534836"/>
    <w:rsid w:val="00534A83"/>
    <w:rsid w:val="00537954"/>
    <w:rsid w:val="00540098"/>
    <w:rsid w:val="00540D2F"/>
    <w:rsid w:val="00551778"/>
    <w:rsid w:val="005554B8"/>
    <w:rsid w:val="005643BF"/>
    <w:rsid w:val="00564894"/>
    <w:rsid w:val="00566B2C"/>
    <w:rsid w:val="0057053D"/>
    <w:rsid w:val="00571C38"/>
    <w:rsid w:val="005740B8"/>
    <w:rsid w:val="00576864"/>
    <w:rsid w:val="005809B3"/>
    <w:rsid w:val="005835F7"/>
    <w:rsid w:val="00584797"/>
    <w:rsid w:val="0059206F"/>
    <w:rsid w:val="00593497"/>
    <w:rsid w:val="005A2B81"/>
    <w:rsid w:val="005A63DF"/>
    <w:rsid w:val="005A718A"/>
    <w:rsid w:val="005B5086"/>
    <w:rsid w:val="005B57C3"/>
    <w:rsid w:val="005B6C25"/>
    <w:rsid w:val="005C6BE5"/>
    <w:rsid w:val="005C7845"/>
    <w:rsid w:val="005D0C05"/>
    <w:rsid w:val="005D2CC1"/>
    <w:rsid w:val="005D6A2A"/>
    <w:rsid w:val="005E0A99"/>
    <w:rsid w:val="005E0EAC"/>
    <w:rsid w:val="005E1B41"/>
    <w:rsid w:val="005E21E8"/>
    <w:rsid w:val="005E3C3E"/>
    <w:rsid w:val="005E611E"/>
    <w:rsid w:val="005E6CD7"/>
    <w:rsid w:val="005E6DB6"/>
    <w:rsid w:val="005E7534"/>
    <w:rsid w:val="005F0017"/>
    <w:rsid w:val="005F2161"/>
    <w:rsid w:val="005F4E92"/>
    <w:rsid w:val="0060368A"/>
    <w:rsid w:val="00616BCC"/>
    <w:rsid w:val="0062696D"/>
    <w:rsid w:val="00627AC5"/>
    <w:rsid w:val="006309E3"/>
    <w:rsid w:val="00633F5E"/>
    <w:rsid w:val="006356F9"/>
    <w:rsid w:val="00641B4B"/>
    <w:rsid w:val="006424CC"/>
    <w:rsid w:val="00644616"/>
    <w:rsid w:val="00646423"/>
    <w:rsid w:val="006467CA"/>
    <w:rsid w:val="00646F22"/>
    <w:rsid w:val="00651DE2"/>
    <w:rsid w:val="006526F4"/>
    <w:rsid w:val="00652A22"/>
    <w:rsid w:val="0065647A"/>
    <w:rsid w:val="00671057"/>
    <w:rsid w:val="0067105F"/>
    <w:rsid w:val="0067223C"/>
    <w:rsid w:val="00677222"/>
    <w:rsid w:val="00686CE2"/>
    <w:rsid w:val="006A21C5"/>
    <w:rsid w:val="006A52D0"/>
    <w:rsid w:val="006A5B12"/>
    <w:rsid w:val="006B430E"/>
    <w:rsid w:val="006B7492"/>
    <w:rsid w:val="006C0BB8"/>
    <w:rsid w:val="006C685E"/>
    <w:rsid w:val="006C74FE"/>
    <w:rsid w:val="006D06EB"/>
    <w:rsid w:val="006D2D7F"/>
    <w:rsid w:val="006D3CE8"/>
    <w:rsid w:val="006D40EF"/>
    <w:rsid w:val="006D5D82"/>
    <w:rsid w:val="006D74DB"/>
    <w:rsid w:val="006E290D"/>
    <w:rsid w:val="006F5E9D"/>
    <w:rsid w:val="006F63D0"/>
    <w:rsid w:val="006F7152"/>
    <w:rsid w:val="006F79BB"/>
    <w:rsid w:val="00703A42"/>
    <w:rsid w:val="007053C7"/>
    <w:rsid w:val="007123D2"/>
    <w:rsid w:val="00714D26"/>
    <w:rsid w:val="00714D40"/>
    <w:rsid w:val="0071527A"/>
    <w:rsid w:val="00715C2C"/>
    <w:rsid w:val="0072113B"/>
    <w:rsid w:val="007232B4"/>
    <w:rsid w:val="007236F9"/>
    <w:rsid w:val="0072501B"/>
    <w:rsid w:val="00725A33"/>
    <w:rsid w:val="00725B2E"/>
    <w:rsid w:val="00726747"/>
    <w:rsid w:val="00731929"/>
    <w:rsid w:val="007356C4"/>
    <w:rsid w:val="00736359"/>
    <w:rsid w:val="00736D10"/>
    <w:rsid w:val="007415D3"/>
    <w:rsid w:val="00752355"/>
    <w:rsid w:val="00754EF4"/>
    <w:rsid w:val="00756E23"/>
    <w:rsid w:val="00757191"/>
    <w:rsid w:val="00757956"/>
    <w:rsid w:val="00761A59"/>
    <w:rsid w:val="00763F06"/>
    <w:rsid w:val="0076795B"/>
    <w:rsid w:val="00770B3D"/>
    <w:rsid w:val="00770C48"/>
    <w:rsid w:val="007757E4"/>
    <w:rsid w:val="00775C3F"/>
    <w:rsid w:val="00784111"/>
    <w:rsid w:val="00784D15"/>
    <w:rsid w:val="0078718F"/>
    <w:rsid w:val="007909A5"/>
    <w:rsid w:val="007913C1"/>
    <w:rsid w:val="00791CF4"/>
    <w:rsid w:val="007951DB"/>
    <w:rsid w:val="007A01FD"/>
    <w:rsid w:val="007A4158"/>
    <w:rsid w:val="007B40CB"/>
    <w:rsid w:val="007B4E06"/>
    <w:rsid w:val="007B6BDE"/>
    <w:rsid w:val="007C3E1F"/>
    <w:rsid w:val="007C7404"/>
    <w:rsid w:val="007D0C0B"/>
    <w:rsid w:val="007D33B7"/>
    <w:rsid w:val="007D6C6A"/>
    <w:rsid w:val="007D6C9C"/>
    <w:rsid w:val="007D7AAA"/>
    <w:rsid w:val="007E0E33"/>
    <w:rsid w:val="007E51B5"/>
    <w:rsid w:val="007E6A13"/>
    <w:rsid w:val="007F1BD5"/>
    <w:rsid w:val="007F68CF"/>
    <w:rsid w:val="00803A6E"/>
    <w:rsid w:val="00814A13"/>
    <w:rsid w:val="00814B0E"/>
    <w:rsid w:val="00816049"/>
    <w:rsid w:val="00816E1A"/>
    <w:rsid w:val="008237A8"/>
    <w:rsid w:val="00827701"/>
    <w:rsid w:val="00833937"/>
    <w:rsid w:val="008367C4"/>
    <w:rsid w:val="008368CD"/>
    <w:rsid w:val="008403E0"/>
    <w:rsid w:val="0084289B"/>
    <w:rsid w:val="00844C94"/>
    <w:rsid w:val="00851AF2"/>
    <w:rsid w:val="00855DAE"/>
    <w:rsid w:val="00862664"/>
    <w:rsid w:val="0086440D"/>
    <w:rsid w:val="008663DF"/>
    <w:rsid w:val="00870CAE"/>
    <w:rsid w:val="0087411D"/>
    <w:rsid w:val="008742A4"/>
    <w:rsid w:val="008761FF"/>
    <w:rsid w:val="00880312"/>
    <w:rsid w:val="008804E3"/>
    <w:rsid w:val="00890964"/>
    <w:rsid w:val="008927D6"/>
    <w:rsid w:val="0089349B"/>
    <w:rsid w:val="008A7401"/>
    <w:rsid w:val="008A7832"/>
    <w:rsid w:val="008B00BB"/>
    <w:rsid w:val="008B5AD5"/>
    <w:rsid w:val="008B6E60"/>
    <w:rsid w:val="008C1269"/>
    <w:rsid w:val="008C3FEB"/>
    <w:rsid w:val="008C6A6B"/>
    <w:rsid w:val="008D5C9C"/>
    <w:rsid w:val="008E1449"/>
    <w:rsid w:val="008E291C"/>
    <w:rsid w:val="008E4AFA"/>
    <w:rsid w:val="008E71D3"/>
    <w:rsid w:val="008E75E5"/>
    <w:rsid w:val="008F08A4"/>
    <w:rsid w:val="008F1EEE"/>
    <w:rsid w:val="009034A4"/>
    <w:rsid w:val="0091086D"/>
    <w:rsid w:val="00912204"/>
    <w:rsid w:val="009158F2"/>
    <w:rsid w:val="00920FC6"/>
    <w:rsid w:val="0092533B"/>
    <w:rsid w:val="00930C2B"/>
    <w:rsid w:val="00940A4D"/>
    <w:rsid w:val="00940CAC"/>
    <w:rsid w:val="00945918"/>
    <w:rsid w:val="00946A07"/>
    <w:rsid w:val="0095037F"/>
    <w:rsid w:val="00951A21"/>
    <w:rsid w:val="0095323E"/>
    <w:rsid w:val="00954176"/>
    <w:rsid w:val="00957621"/>
    <w:rsid w:val="0096379B"/>
    <w:rsid w:val="00967B7F"/>
    <w:rsid w:val="009718B9"/>
    <w:rsid w:val="00976772"/>
    <w:rsid w:val="009805CA"/>
    <w:rsid w:val="00980A43"/>
    <w:rsid w:val="00980EF1"/>
    <w:rsid w:val="00982D5D"/>
    <w:rsid w:val="00983C6D"/>
    <w:rsid w:val="00984B8C"/>
    <w:rsid w:val="00986F66"/>
    <w:rsid w:val="00990FB4"/>
    <w:rsid w:val="00995546"/>
    <w:rsid w:val="00997C60"/>
    <w:rsid w:val="009A129D"/>
    <w:rsid w:val="009A2FF5"/>
    <w:rsid w:val="009A59AB"/>
    <w:rsid w:val="009A7A08"/>
    <w:rsid w:val="009B0359"/>
    <w:rsid w:val="009B175B"/>
    <w:rsid w:val="009B500F"/>
    <w:rsid w:val="009C0A60"/>
    <w:rsid w:val="009C4887"/>
    <w:rsid w:val="009C6FAC"/>
    <w:rsid w:val="009D1E3D"/>
    <w:rsid w:val="009E1803"/>
    <w:rsid w:val="009E1E04"/>
    <w:rsid w:val="009E3FC2"/>
    <w:rsid w:val="009F3C57"/>
    <w:rsid w:val="009F5CE4"/>
    <w:rsid w:val="00A002E7"/>
    <w:rsid w:val="00A042F1"/>
    <w:rsid w:val="00A06E67"/>
    <w:rsid w:val="00A11F42"/>
    <w:rsid w:val="00A12B94"/>
    <w:rsid w:val="00A200C2"/>
    <w:rsid w:val="00A215DD"/>
    <w:rsid w:val="00A23B03"/>
    <w:rsid w:val="00A27279"/>
    <w:rsid w:val="00A278A9"/>
    <w:rsid w:val="00A35A15"/>
    <w:rsid w:val="00A37D72"/>
    <w:rsid w:val="00A472DF"/>
    <w:rsid w:val="00A47ED8"/>
    <w:rsid w:val="00A54DD2"/>
    <w:rsid w:val="00A5636B"/>
    <w:rsid w:val="00A60A80"/>
    <w:rsid w:val="00A61FA3"/>
    <w:rsid w:val="00A65489"/>
    <w:rsid w:val="00A67066"/>
    <w:rsid w:val="00A73864"/>
    <w:rsid w:val="00A7498D"/>
    <w:rsid w:val="00A76EA1"/>
    <w:rsid w:val="00A7717C"/>
    <w:rsid w:val="00A77FFE"/>
    <w:rsid w:val="00A80BF1"/>
    <w:rsid w:val="00A8250B"/>
    <w:rsid w:val="00A828B2"/>
    <w:rsid w:val="00A83384"/>
    <w:rsid w:val="00A8484A"/>
    <w:rsid w:val="00A87F66"/>
    <w:rsid w:val="00A91E3D"/>
    <w:rsid w:val="00A94057"/>
    <w:rsid w:val="00A95F35"/>
    <w:rsid w:val="00A9678C"/>
    <w:rsid w:val="00AA07EA"/>
    <w:rsid w:val="00AA4C9D"/>
    <w:rsid w:val="00AC10C8"/>
    <w:rsid w:val="00AC1752"/>
    <w:rsid w:val="00AC65E3"/>
    <w:rsid w:val="00AC7E00"/>
    <w:rsid w:val="00AE277A"/>
    <w:rsid w:val="00AE3662"/>
    <w:rsid w:val="00AE5BA0"/>
    <w:rsid w:val="00AE5C8C"/>
    <w:rsid w:val="00AF3AE8"/>
    <w:rsid w:val="00AF41F4"/>
    <w:rsid w:val="00AF4D05"/>
    <w:rsid w:val="00AF501F"/>
    <w:rsid w:val="00AF733F"/>
    <w:rsid w:val="00B01BAD"/>
    <w:rsid w:val="00B03A80"/>
    <w:rsid w:val="00B0571F"/>
    <w:rsid w:val="00B1036A"/>
    <w:rsid w:val="00B12F22"/>
    <w:rsid w:val="00B13406"/>
    <w:rsid w:val="00B16E46"/>
    <w:rsid w:val="00B22FD8"/>
    <w:rsid w:val="00B26094"/>
    <w:rsid w:val="00B26FBA"/>
    <w:rsid w:val="00B30137"/>
    <w:rsid w:val="00B311BA"/>
    <w:rsid w:val="00B32761"/>
    <w:rsid w:val="00B34B15"/>
    <w:rsid w:val="00B35E8B"/>
    <w:rsid w:val="00B36E01"/>
    <w:rsid w:val="00B37AFE"/>
    <w:rsid w:val="00B37C8D"/>
    <w:rsid w:val="00B4070A"/>
    <w:rsid w:val="00B40849"/>
    <w:rsid w:val="00B40AC2"/>
    <w:rsid w:val="00B4540F"/>
    <w:rsid w:val="00B50D47"/>
    <w:rsid w:val="00B51955"/>
    <w:rsid w:val="00B6131E"/>
    <w:rsid w:val="00B61A35"/>
    <w:rsid w:val="00B61ECB"/>
    <w:rsid w:val="00B62240"/>
    <w:rsid w:val="00B63D6F"/>
    <w:rsid w:val="00B70D8F"/>
    <w:rsid w:val="00B73FD0"/>
    <w:rsid w:val="00B76CCB"/>
    <w:rsid w:val="00B872B5"/>
    <w:rsid w:val="00B87335"/>
    <w:rsid w:val="00B92C8A"/>
    <w:rsid w:val="00B930CB"/>
    <w:rsid w:val="00B9541B"/>
    <w:rsid w:val="00B97FB0"/>
    <w:rsid w:val="00BA0062"/>
    <w:rsid w:val="00BA2CFC"/>
    <w:rsid w:val="00BB1509"/>
    <w:rsid w:val="00BB2BEC"/>
    <w:rsid w:val="00BB6B93"/>
    <w:rsid w:val="00BC10F2"/>
    <w:rsid w:val="00BC1C05"/>
    <w:rsid w:val="00BC2FEB"/>
    <w:rsid w:val="00BC43D6"/>
    <w:rsid w:val="00BD2EED"/>
    <w:rsid w:val="00BD5776"/>
    <w:rsid w:val="00BE4758"/>
    <w:rsid w:val="00BF2490"/>
    <w:rsid w:val="00BF315B"/>
    <w:rsid w:val="00BF3AF9"/>
    <w:rsid w:val="00BF4A42"/>
    <w:rsid w:val="00BF70A8"/>
    <w:rsid w:val="00C10E1D"/>
    <w:rsid w:val="00C17759"/>
    <w:rsid w:val="00C247F0"/>
    <w:rsid w:val="00C333E0"/>
    <w:rsid w:val="00C33A31"/>
    <w:rsid w:val="00C4095C"/>
    <w:rsid w:val="00C419C7"/>
    <w:rsid w:val="00C4200A"/>
    <w:rsid w:val="00C52D00"/>
    <w:rsid w:val="00C54BB2"/>
    <w:rsid w:val="00C602EF"/>
    <w:rsid w:val="00C631C1"/>
    <w:rsid w:val="00C6434E"/>
    <w:rsid w:val="00C645C6"/>
    <w:rsid w:val="00C657D4"/>
    <w:rsid w:val="00C72B6D"/>
    <w:rsid w:val="00C75D8B"/>
    <w:rsid w:val="00C76871"/>
    <w:rsid w:val="00C81A19"/>
    <w:rsid w:val="00C8563B"/>
    <w:rsid w:val="00C86D82"/>
    <w:rsid w:val="00C900E4"/>
    <w:rsid w:val="00C91767"/>
    <w:rsid w:val="00C923D8"/>
    <w:rsid w:val="00C969C0"/>
    <w:rsid w:val="00C96E27"/>
    <w:rsid w:val="00CA4407"/>
    <w:rsid w:val="00CA5416"/>
    <w:rsid w:val="00CB1A0E"/>
    <w:rsid w:val="00CB4612"/>
    <w:rsid w:val="00CB69A8"/>
    <w:rsid w:val="00CB7697"/>
    <w:rsid w:val="00CC49A2"/>
    <w:rsid w:val="00CC7EC1"/>
    <w:rsid w:val="00CD6EFC"/>
    <w:rsid w:val="00CD7BCA"/>
    <w:rsid w:val="00CE11F5"/>
    <w:rsid w:val="00CE15E1"/>
    <w:rsid w:val="00CE28C8"/>
    <w:rsid w:val="00CE2F34"/>
    <w:rsid w:val="00CF0DFF"/>
    <w:rsid w:val="00CF1565"/>
    <w:rsid w:val="00CF1653"/>
    <w:rsid w:val="00D0590C"/>
    <w:rsid w:val="00D05E55"/>
    <w:rsid w:val="00D120B6"/>
    <w:rsid w:val="00D14739"/>
    <w:rsid w:val="00D15A0D"/>
    <w:rsid w:val="00D16573"/>
    <w:rsid w:val="00D20935"/>
    <w:rsid w:val="00D21B11"/>
    <w:rsid w:val="00D22C68"/>
    <w:rsid w:val="00D24452"/>
    <w:rsid w:val="00D31590"/>
    <w:rsid w:val="00D319A8"/>
    <w:rsid w:val="00D360A8"/>
    <w:rsid w:val="00D37C66"/>
    <w:rsid w:val="00D403CD"/>
    <w:rsid w:val="00D42AAF"/>
    <w:rsid w:val="00D43893"/>
    <w:rsid w:val="00D50A12"/>
    <w:rsid w:val="00D54D18"/>
    <w:rsid w:val="00D620C3"/>
    <w:rsid w:val="00D62BBF"/>
    <w:rsid w:val="00D66485"/>
    <w:rsid w:val="00D776D8"/>
    <w:rsid w:val="00D77B5E"/>
    <w:rsid w:val="00D83E62"/>
    <w:rsid w:val="00D85B67"/>
    <w:rsid w:val="00D861D0"/>
    <w:rsid w:val="00D91AD1"/>
    <w:rsid w:val="00D9576F"/>
    <w:rsid w:val="00DA214A"/>
    <w:rsid w:val="00DB154E"/>
    <w:rsid w:val="00DC1AEE"/>
    <w:rsid w:val="00DC4D6A"/>
    <w:rsid w:val="00DC5C64"/>
    <w:rsid w:val="00DD2AD0"/>
    <w:rsid w:val="00DD7ADF"/>
    <w:rsid w:val="00DE00C0"/>
    <w:rsid w:val="00DE03CF"/>
    <w:rsid w:val="00DE1DB5"/>
    <w:rsid w:val="00DE2615"/>
    <w:rsid w:val="00DF419F"/>
    <w:rsid w:val="00DF477B"/>
    <w:rsid w:val="00E06B40"/>
    <w:rsid w:val="00E21256"/>
    <w:rsid w:val="00E33F12"/>
    <w:rsid w:val="00E37B79"/>
    <w:rsid w:val="00E404AA"/>
    <w:rsid w:val="00E42FC3"/>
    <w:rsid w:val="00E47614"/>
    <w:rsid w:val="00E51362"/>
    <w:rsid w:val="00E53AE6"/>
    <w:rsid w:val="00E54921"/>
    <w:rsid w:val="00E54EC6"/>
    <w:rsid w:val="00E5504D"/>
    <w:rsid w:val="00E56226"/>
    <w:rsid w:val="00E61CEC"/>
    <w:rsid w:val="00E62C59"/>
    <w:rsid w:val="00E646CD"/>
    <w:rsid w:val="00E64D3D"/>
    <w:rsid w:val="00E73EFE"/>
    <w:rsid w:val="00E809A8"/>
    <w:rsid w:val="00E87516"/>
    <w:rsid w:val="00E917C6"/>
    <w:rsid w:val="00E931A6"/>
    <w:rsid w:val="00E95E8B"/>
    <w:rsid w:val="00E970B8"/>
    <w:rsid w:val="00E97861"/>
    <w:rsid w:val="00EA5211"/>
    <w:rsid w:val="00EA6024"/>
    <w:rsid w:val="00EB29D6"/>
    <w:rsid w:val="00EB2B47"/>
    <w:rsid w:val="00EB3855"/>
    <w:rsid w:val="00EB5E2B"/>
    <w:rsid w:val="00EB6369"/>
    <w:rsid w:val="00EB6C25"/>
    <w:rsid w:val="00EC1C1D"/>
    <w:rsid w:val="00EC506D"/>
    <w:rsid w:val="00ED22D7"/>
    <w:rsid w:val="00ED27D3"/>
    <w:rsid w:val="00ED4873"/>
    <w:rsid w:val="00ED4A65"/>
    <w:rsid w:val="00EE1E31"/>
    <w:rsid w:val="00EE6C07"/>
    <w:rsid w:val="00EF061F"/>
    <w:rsid w:val="00EF16E7"/>
    <w:rsid w:val="00EF25CB"/>
    <w:rsid w:val="00EF4FF1"/>
    <w:rsid w:val="00EF7BA2"/>
    <w:rsid w:val="00F03F28"/>
    <w:rsid w:val="00F06229"/>
    <w:rsid w:val="00F0798F"/>
    <w:rsid w:val="00F1030C"/>
    <w:rsid w:val="00F22DFE"/>
    <w:rsid w:val="00F246AE"/>
    <w:rsid w:val="00F26466"/>
    <w:rsid w:val="00F26A1D"/>
    <w:rsid w:val="00F275C9"/>
    <w:rsid w:val="00F30C0A"/>
    <w:rsid w:val="00F368D5"/>
    <w:rsid w:val="00F46FFA"/>
    <w:rsid w:val="00F4736E"/>
    <w:rsid w:val="00F50168"/>
    <w:rsid w:val="00F56BC3"/>
    <w:rsid w:val="00F6062C"/>
    <w:rsid w:val="00F6065E"/>
    <w:rsid w:val="00F6312D"/>
    <w:rsid w:val="00F71310"/>
    <w:rsid w:val="00F7782D"/>
    <w:rsid w:val="00F92E3C"/>
    <w:rsid w:val="00F97FB5"/>
    <w:rsid w:val="00FA03F2"/>
    <w:rsid w:val="00FB1107"/>
    <w:rsid w:val="00FB49F7"/>
    <w:rsid w:val="00FB4DA2"/>
    <w:rsid w:val="00FB6B23"/>
    <w:rsid w:val="00FD1169"/>
    <w:rsid w:val="00FE21B5"/>
    <w:rsid w:val="00FE5762"/>
    <w:rsid w:val="00FF0536"/>
    <w:rsid w:val="00FF13D7"/>
    <w:rsid w:val="00FF5D36"/>
    <w:rsid w:val="00FF7260"/>
    <w:rsid w:val="00FF7E6C"/>
    <w:rsid w:val="01A97C05"/>
    <w:rsid w:val="01B1142C"/>
    <w:rsid w:val="01DB28AE"/>
    <w:rsid w:val="02034B95"/>
    <w:rsid w:val="02397937"/>
    <w:rsid w:val="02A86215"/>
    <w:rsid w:val="02C11A5E"/>
    <w:rsid w:val="03674185"/>
    <w:rsid w:val="038457D4"/>
    <w:rsid w:val="03B9268D"/>
    <w:rsid w:val="03C0697A"/>
    <w:rsid w:val="04286C63"/>
    <w:rsid w:val="044838C5"/>
    <w:rsid w:val="048E5E9C"/>
    <w:rsid w:val="049C18D9"/>
    <w:rsid w:val="04B17E59"/>
    <w:rsid w:val="04BE67D0"/>
    <w:rsid w:val="050E1DFC"/>
    <w:rsid w:val="05352C60"/>
    <w:rsid w:val="054D6061"/>
    <w:rsid w:val="05677058"/>
    <w:rsid w:val="05717291"/>
    <w:rsid w:val="05F74ABD"/>
    <w:rsid w:val="06F02F22"/>
    <w:rsid w:val="07422240"/>
    <w:rsid w:val="07690ADE"/>
    <w:rsid w:val="078F15F9"/>
    <w:rsid w:val="078F7C15"/>
    <w:rsid w:val="07DA6ABC"/>
    <w:rsid w:val="081B3DF5"/>
    <w:rsid w:val="08535B79"/>
    <w:rsid w:val="08B604A3"/>
    <w:rsid w:val="09665837"/>
    <w:rsid w:val="09814923"/>
    <w:rsid w:val="099260B9"/>
    <w:rsid w:val="09CA24B0"/>
    <w:rsid w:val="0A2A6432"/>
    <w:rsid w:val="0A440F0B"/>
    <w:rsid w:val="0A557D0B"/>
    <w:rsid w:val="0AA9261C"/>
    <w:rsid w:val="0ACA265C"/>
    <w:rsid w:val="0C142225"/>
    <w:rsid w:val="0C1532A2"/>
    <w:rsid w:val="0C3C1021"/>
    <w:rsid w:val="0CD650CB"/>
    <w:rsid w:val="0CD853DF"/>
    <w:rsid w:val="0D7A6097"/>
    <w:rsid w:val="0D8E6B90"/>
    <w:rsid w:val="0E1E2C6F"/>
    <w:rsid w:val="0E6E372C"/>
    <w:rsid w:val="0E7B4C63"/>
    <w:rsid w:val="0EAF0EE0"/>
    <w:rsid w:val="0ECB1B2D"/>
    <w:rsid w:val="0EDA20A6"/>
    <w:rsid w:val="0F392A22"/>
    <w:rsid w:val="0F44303D"/>
    <w:rsid w:val="0F4F2B9B"/>
    <w:rsid w:val="0F631D5B"/>
    <w:rsid w:val="0F7F7DFE"/>
    <w:rsid w:val="0F934558"/>
    <w:rsid w:val="0FA63E01"/>
    <w:rsid w:val="105A15D7"/>
    <w:rsid w:val="107D771C"/>
    <w:rsid w:val="108B29BA"/>
    <w:rsid w:val="109F5CE8"/>
    <w:rsid w:val="10A51373"/>
    <w:rsid w:val="114D1931"/>
    <w:rsid w:val="11797A65"/>
    <w:rsid w:val="11A75E99"/>
    <w:rsid w:val="11B506C9"/>
    <w:rsid w:val="11C354BB"/>
    <w:rsid w:val="11C60CF6"/>
    <w:rsid w:val="120A65B4"/>
    <w:rsid w:val="12441022"/>
    <w:rsid w:val="129D622A"/>
    <w:rsid w:val="12A10103"/>
    <w:rsid w:val="12B43C2D"/>
    <w:rsid w:val="13C2636F"/>
    <w:rsid w:val="14413809"/>
    <w:rsid w:val="147664C3"/>
    <w:rsid w:val="152961DC"/>
    <w:rsid w:val="15376830"/>
    <w:rsid w:val="15A1510F"/>
    <w:rsid w:val="15B50FB3"/>
    <w:rsid w:val="162D593C"/>
    <w:rsid w:val="16742F25"/>
    <w:rsid w:val="16980724"/>
    <w:rsid w:val="169F2F88"/>
    <w:rsid w:val="16C26CE0"/>
    <w:rsid w:val="16E121B9"/>
    <w:rsid w:val="174C26AA"/>
    <w:rsid w:val="17CA58AC"/>
    <w:rsid w:val="17F47671"/>
    <w:rsid w:val="18815488"/>
    <w:rsid w:val="18C3590E"/>
    <w:rsid w:val="18D206B8"/>
    <w:rsid w:val="18DA1BCC"/>
    <w:rsid w:val="19270DDC"/>
    <w:rsid w:val="193B0F0F"/>
    <w:rsid w:val="195D3FC4"/>
    <w:rsid w:val="197A1994"/>
    <w:rsid w:val="19B95944"/>
    <w:rsid w:val="1AFD13B7"/>
    <w:rsid w:val="1B012473"/>
    <w:rsid w:val="1BA82337"/>
    <w:rsid w:val="1BB54D36"/>
    <w:rsid w:val="1C7B254C"/>
    <w:rsid w:val="1C8430F6"/>
    <w:rsid w:val="1CD37E01"/>
    <w:rsid w:val="1CE46C30"/>
    <w:rsid w:val="1CFC6E8E"/>
    <w:rsid w:val="1D037E20"/>
    <w:rsid w:val="1DCE6F89"/>
    <w:rsid w:val="1E607CB4"/>
    <w:rsid w:val="1E613B32"/>
    <w:rsid w:val="1ED528DE"/>
    <w:rsid w:val="1EFC60A6"/>
    <w:rsid w:val="1F284AC3"/>
    <w:rsid w:val="1F675532"/>
    <w:rsid w:val="1FD82659"/>
    <w:rsid w:val="20047F6C"/>
    <w:rsid w:val="205B20FA"/>
    <w:rsid w:val="20625B05"/>
    <w:rsid w:val="20872AE2"/>
    <w:rsid w:val="208847ED"/>
    <w:rsid w:val="20B74119"/>
    <w:rsid w:val="20EB62F4"/>
    <w:rsid w:val="21124CB0"/>
    <w:rsid w:val="21157181"/>
    <w:rsid w:val="21173DBC"/>
    <w:rsid w:val="21971DE3"/>
    <w:rsid w:val="21A33A4C"/>
    <w:rsid w:val="21E130A8"/>
    <w:rsid w:val="221B0D8E"/>
    <w:rsid w:val="2234254E"/>
    <w:rsid w:val="224439F0"/>
    <w:rsid w:val="22D10D86"/>
    <w:rsid w:val="22ED2905"/>
    <w:rsid w:val="23850911"/>
    <w:rsid w:val="238C2FE2"/>
    <w:rsid w:val="23C30807"/>
    <w:rsid w:val="23CD1F07"/>
    <w:rsid w:val="23DB2CF2"/>
    <w:rsid w:val="23E107DA"/>
    <w:rsid w:val="24212B2A"/>
    <w:rsid w:val="24943229"/>
    <w:rsid w:val="24BF6821"/>
    <w:rsid w:val="24C70779"/>
    <w:rsid w:val="24FD0ED2"/>
    <w:rsid w:val="250460F4"/>
    <w:rsid w:val="25110EA0"/>
    <w:rsid w:val="252F45B6"/>
    <w:rsid w:val="25B54C99"/>
    <w:rsid w:val="25C32AA5"/>
    <w:rsid w:val="25E47015"/>
    <w:rsid w:val="26383C77"/>
    <w:rsid w:val="26467718"/>
    <w:rsid w:val="267921E6"/>
    <w:rsid w:val="26856B59"/>
    <w:rsid w:val="26B03E87"/>
    <w:rsid w:val="26EB1476"/>
    <w:rsid w:val="27E73F61"/>
    <w:rsid w:val="27E81874"/>
    <w:rsid w:val="28284AFD"/>
    <w:rsid w:val="283C5CA9"/>
    <w:rsid w:val="283C67AF"/>
    <w:rsid w:val="28BB4D87"/>
    <w:rsid w:val="291624A7"/>
    <w:rsid w:val="29704D1B"/>
    <w:rsid w:val="2A481CB8"/>
    <w:rsid w:val="2A666F81"/>
    <w:rsid w:val="2AD15F10"/>
    <w:rsid w:val="2BBA6336"/>
    <w:rsid w:val="2C264EA4"/>
    <w:rsid w:val="2C694C0C"/>
    <w:rsid w:val="2CB32EF7"/>
    <w:rsid w:val="2CBE16FE"/>
    <w:rsid w:val="2CC5713D"/>
    <w:rsid w:val="2D174C9D"/>
    <w:rsid w:val="2DD91E4A"/>
    <w:rsid w:val="2E133B5C"/>
    <w:rsid w:val="2E3433D9"/>
    <w:rsid w:val="2ECA3CCE"/>
    <w:rsid w:val="2F4930DF"/>
    <w:rsid w:val="2F7B2EA7"/>
    <w:rsid w:val="2FB438EC"/>
    <w:rsid w:val="2FD22FAE"/>
    <w:rsid w:val="2FFA02A5"/>
    <w:rsid w:val="30071A78"/>
    <w:rsid w:val="30922180"/>
    <w:rsid w:val="30F85A12"/>
    <w:rsid w:val="31016F1B"/>
    <w:rsid w:val="3111020F"/>
    <w:rsid w:val="31123580"/>
    <w:rsid w:val="31C44453"/>
    <w:rsid w:val="32263008"/>
    <w:rsid w:val="322A1538"/>
    <w:rsid w:val="32C61267"/>
    <w:rsid w:val="333A5D29"/>
    <w:rsid w:val="33576C3A"/>
    <w:rsid w:val="336508A8"/>
    <w:rsid w:val="33885BBD"/>
    <w:rsid w:val="33B60253"/>
    <w:rsid w:val="33B82EFF"/>
    <w:rsid w:val="33E65DCA"/>
    <w:rsid w:val="34302508"/>
    <w:rsid w:val="3540242D"/>
    <w:rsid w:val="359E35E5"/>
    <w:rsid w:val="35B07327"/>
    <w:rsid w:val="36252E9E"/>
    <w:rsid w:val="36276EB1"/>
    <w:rsid w:val="366B5B68"/>
    <w:rsid w:val="36823DDD"/>
    <w:rsid w:val="3713792B"/>
    <w:rsid w:val="372B093D"/>
    <w:rsid w:val="375A3FBB"/>
    <w:rsid w:val="378C5889"/>
    <w:rsid w:val="37970E26"/>
    <w:rsid w:val="37DF2FE5"/>
    <w:rsid w:val="38220B6A"/>
    <w:rsid w:val="387E5AF1"/>
    <w:rsid w:val="38E258E3"/>
    <w:rsid w:val="392804CA"/>
    <w:rsid w:val="39410912"/>
    <w:rsid w:val="399D598C"/>
    <w:rsid w:val="39E958A6"/>
    <w:rsid w:val="39F43AE7"/>
    <w:rsid w:val="39F63FDD"/>
    <w:rsid w:val="3A2D33F9"/>
    <w:rsid w:val="3A360C0C"/>
    <w:rsid w:val="3A410324"/>
    <w:rsid w:val="3A613D22"/>
    <w:rsid w:val="3AAD0488"/>
    <w:rsid w:val="3ABE02BA"/>
    <w:rsid w:val="3B045A54"/>
    <w:rsid w:val="3B077923"/>
    <w:rsid w:val="3B3E17AA"/>
    <w:rsid w:val="3B8E4CFC"/>
    <w:rsid w:val="3BB3652B"/>
    <w:rsid w:val="3BEE0143"/>
    <w:rsid w:val="3BEF479A"/>
    <w:rsid w:val="3C350361"/>
    <w:rsid w:val="3C37076C"/>
    <w:rsid w:val="3C577A00"/>
    <w:rsid w:val="3D1C0012"/>
    <w:rsid w:val="3D364633"/>
    <w:rsid w:val="3D4D5E07"/>
    <w:rsid w:val="3D740E48"/>
    <w:rsid w:val="3DA21ED9"/>
    <w:rsid w:val="3DA90201"/>
    <w:rsid w:val="3DAE672E"/>
    <w:rsid w:val="3ED06BA1"/>
    <w:rsid w:val="3EDD22EB"/>
    <w:rsid w:val="40B52B6D"/>
    <w:rsid w:val="41AB15C3"/>
    <w:rsid w:val="41EC7F6E"/>
    <w:rsid w:val="421D6E43"/>
    <w:rsid w:val="42343D00"/>
    <w:rsid w:val="424A0475"/>
    <w:rsid w:val="427612F6"/>
    <w:rsid w:val="43973131"/>
    <w:rsid w:val="43B927EF"/>
    <w:rsid w:val="43CF49A4"/>
    <w:rsid w:val="44712ADF"/>
    <w:rsid w:val="448334A4"/>
    <w:rsid w:val="44A60BBB"/>
    <w:rsid w:val="44AF2276"/>
    <w:rsid w:val="453460A6"/>
    <w:rsid w:val="453D6622"/>
    <w:rsid w:val="455B0053"/>
    <w:rsid w:val="45825606"/>
    <w:rsid w:val="459A53FC"/>
    <w:rsid w:val="459D397C"/>
    <w:rsid w:val="45D02825"/>
    <w:rsid w:val="45EE5532"/>
    <w:rsid w:val="463445C9"/>
    <w:rsid w:val="46363612"/>
    <w:rsid w:val="464920FF"/>
    <w:rsid w:val="4670253F"/>
    <w:rsid w:val="467D33A0"/>
    <w:rsid w:val="46FD6797"/>
    <w:rsid w:val="472F29FA"/>
    <w:rsid w:val="478B2AA3"/>
    <w:rsid w:val="482B3412"/>
    <w:rsid w:val="482C3530"/>
    <w:rsid w:val="484033C2"/>
    <w:rsid w:val="48437BA9"/>
    <w:rsid w:val="485409C2"/>
    <w:rsid w:val="48690779"/>
    <w:rsid w:val="489306CE"/>
    <w:rsid w:val="48C65256"/>
    <w:rsid w:val="48D92B55"/>
    <w:rsid w:val="48DE6DB0"/>
    <w:rsid w:val="491953C8"/>
    <w:rsid w:val="49B45858"/>
    <w:rsid w:val="4A1537E3"/>
    <w:rsid w:val="4A4A566D"/>
    <w:rsid w:val="4AAE1C99"/>
    <w:rsid w:val="4BC6637F"/>
    <w:rsid w:val="4BF078F2"/>
    <w:rsid w:val="4C1B625F"/>
    <w:rsid w:val="4C1D7FA5"/>
    <w:rsid w:val="4C1E52B5"/>
    <w:rsid w:val="4C346340"/>
    <w:rsid w:val="4CAC5112"/>
    <w:rsid w:val="4CBC08F3"/>
    <w:rsid w:val="4CE41775"/>
    <w:rsid w:val="4CEC5211"/>
    <w:rsid w:val="4D40236C"/>
    <w:rsid w:val="4D62336B"/>
    <w:rsid w:val="4DAD12BC"/>
    <w:rsid w:val="4EE00491"/>
    <w:rsid w:val="4F682285"/>
    <w:rsid w:val="4F6B2532"/>
    <w:rsid w:val="4F723034"/>
    <w:rsid w:val="4F9A5FD6"/>
    <w:rsid w:val="4FA4171B"/>
    <w:rsid w:val="4FBB69F3"/>
    <w:rsid w:val="50472B2E"/>
    <w:rsid w:val="508C41AC"/>
    <w:rsid w:val="509A315F"/>
    <w:rsid w:val="5101290C"/>
    <w:rsid w:val="51D4455E"/>
    <w:rsid w:val="52777EFA"/>
    <w:rsid w:val="5279628E"/>
    <w:rsid w:val="52AA0237"/>
    <w:rsid w:val="52CD5848"/>
    <w:rsid w:val="52D74F5B"/>
    <w:rsid w:val="532716B3"/>
    <w:rsid w:val="532E42C3"/>
    <w:rsid w:val="53345855"/>
    <w:rsid w:val="5397230A"/>
    <w:rsid w:val="539F1E2F"/>
    <w:rsid w:val="53B83436"/>
    <w:rsid w:val="53D31AEE"/>
    <w:rsid w:val="541B79DD"/>
    <w:rsid w:val="544915F1"/>
    <w:rsid w:val="54AB63B5"/>
    <w:rsid w:val="54F96A12"/>
    <w:rsid w:val="550E2C2E"/>
    <w:rsid w:val="551B48BB"/>
    <w:rsid w:val="55875210"/>
    <w:rsid w:val="573A4522"/>
    <w:rsid w:val="57676C67"/>
    <w:rsid w:val="57F80D98"/>
    <w:rsid w:val="58A56B49"/>
    <w:rsid w:val="58FE5517"/>
    <w:rsid w:val="598B1907"/>
    <w:rsid w:val="59D01A3F"/>
    <w:rsid w:val="5A08004D"/>
    <w:rsid w:val="5A610588"/>
    <w:rsid w:val="5A792498"/>
    <w:rsid w:val="5AE17B94"/>
    <w:rsid w:val="5AEF17A3"/>
    <w:rsid w:val="5AF168BA"/>
    <w:rsid w:val="5B0E58A0"/>
    <w:rsid w:val="5B300D97"/>
    <w:rsid w:val="5B50296A"/>
    <w:rsid w:val="5C0637E5"/>
    <w:rsid w:val="5C1935F4"/>
    <w:rsid w:val="5C6C4D73"/>
    <w:rsid w:val="5CD26AAE"/>
    <w:rsid w:val="5D035ED2"/>
    <w:rsid w:val="5DAE08B6"/>
    <w:rsid w:val="5DC17A01"/>
    <w:rsid w:val="5DC9214A"/>
    <w:rsid w:val="5DEC53C9"/>
    <w:rsid w:val="5DEE00FB"/>
    <w:rsid w:val="5E062FD2"/>
    <w:rsid w:val="5EE25EBB"/>
    <w:rsid w:val="5F6164AF"/>
    <w:rsid w:val="5F6413BA"/>
    <w:rsid w:val="5F8E296A"/>
    <w:rsid w:val="5FB4265A"/>
    <w:rsid w:val="5FD626F7"/>
    <w:rsid w:val="605B6FF3"/>
    <w:rsid w:val="607868BD"/>
    <w:rsid w:val="60B55509"/>
    <w:rsid w:val="60B96C73"/>
    <w:rsid w:val="61077A04"/>
    <w:rsid w:val="61906DEC"/>
    <w:rsid w:val="61A407B9"/>
    <w:rsid w:val="62014302"/>
    <w:rsid w:val="62B53E3A"/>
    <w:rsid w:val="63810A83"/>
    <w:rsid w:val="63845F78"/>
    <w:rsid w:val="639A196F"/>
    <w:rsid w:val="63C65317"/>
    <w:rsid w:val="63CD5381"/>
    <w:rsid w:val="6439236C"/>
    <w:rsid w:val="644E37A4"/>
    <w:rsid w:val="648D263F"/>
    <w:rsid w:val="64FB0260"/>
    <w:rsid w:val="64FE164E"/>
    <w:rsid w:val="65882F96"/>
    <w:rsid w:val="65AC3BC5"/>
    <w:rsid w:val="65EE456A"/>
    <w:rsid w:val="66345773"/>
    <w:rsid w:val="664544EC"/>
    <w:rsid w:val="665B13C8"/>
    <w:rsid w:val="668D4DC1"/>
    <w:rsid w:val="677B041A"/>
    <w:rsid w:val="68966412"/>
    <w:rsid w:val="68C25C5F"/>
    <w:rsid w:val="69472D0F"/>
    <w:rsid w:val="694E63E5"/>
    <w:rsid w:val="69B56771"/>
    <w:rsid w:val="69C04795"/>
    <w:rsid w:val="6A114B16"/>
    <w:rsid w:val="6A257A6E"/>
    <w:rsid w:val="6AC829C6"/>
    <w:rsid w:val="6B6C5E9A"/>
    <w:rsid w:val="6B8B6914"/>
    <w:rsid w:val="6B9A74F9"/>
    <w:rsid w:val="6BC54E1F"/>
    <w:rsid w:val="6BF90763"/>
    <w:rsid w:val="6C284EC6"/>
    <w:rsid w:val="6CB125D7"/>
    <w:rsid w:val="6CDB7F27"/>
    <w:rsid w:val="6D185342"/>
    <w:rsid w:val="6D1D233A"/>
    <w:rsid w:val="6D8D6DE8"/>
    <w:rsid w:val="6E0B6A1B"/>
    <w:rsid w:val="6E197FC7"/>
    <w:rsid w:val="6E360F0D"/>
    <w:rsid w:val="6E7E79DC"/>
    <w:rsid w:val="6F3172F0"/>
    <w:rsid w:val="6F3C548B"/>
    <w:rsid w:val="6F4A23D9"/>
    <w:rsid w:val="6F4F02F0"/>
    <w:rsid w:val="6FE354D2"/>
    <w:rsid w:val="6FF6127D"/>
    <w:rsid w:val="70976B8F"/>
    <w:rsid w:val="70BE0F5C"/>
    <w:rsid w:val="71155D81"/>
    <w:rsid w:val="71340A3A"/>
    <w:rsid w:val="71BC122B"/>
    <w:rsid w:val="724B782E"/>
    <w:rsid w:val="72582375"/>
    <w:rsid w:val="72E84E45"/>
    <w:rsid w:val="73557022"/>
    <w:rsid w:val="73F427C5"/>
    <w:rsid w:val="74237741"/>
    <w:rsid w:val="743159D0"/>
    <w:rsid w:val="7523565D"/>
    <w:rsid w:val="75351F8E"/>
    <w:rsid w:val="75362224"/>
    <w:rsid w:val="75D82938"/>
    <w:rsid w:val="7611690E"/>
    <w:rsid w:val="762E3635"/>
    <w:rsid w:val="76506073"/>
    <w:rsid w:val="76902F64"/>
    <w:rsid w:val="76BB210B"/>
    <w:rsid w:val="76CC3122"/>
    <w:rsid w:val="772B7E38"/>
    <w:rsid w:val="77433B3A"/>
    <w:rsid w:val="775D127C"/>
    <w:rsid w:val="77616CE9"/>
    <w:rsid w:val="7764050E"/>
    <w:rsid w:val="77A123CB"/>
    <w:rsid w:val="77C4357A"/>
    <w:rsid w:val="77E24766"/>
    <w:rsid w:val="78610C3B"/>
    <w:rsid w:val="78654FD9"/>
    <w:rsid w:val="786A229F"/>
    <w:rsid w:val="78C25AC5"/>
    <w:rsid w:val="78CF1B0B"/>
    <w:rsid w:val="78EC469F"/>
    <w:rsid w:val="79021ADE"/>
    <w:rsid w:val="79C71276"/>
    <w:rsid w:val="79FC5758"/>
    <w:rsid w:val="7A151947"/>
    <w:rsid w:val="7A432F57"/>
    <w:rsid w:val="7A8F0BB8"/>
    <w:rsid w:val="7AF60D98"/>
    <w:rsid w:val="7B27257B"/>
    <w:rsid w:val="7B7B455E"/>
    <w:rsid w:val="7B94529F"/>
    <w:rsid w:val="7BBA30CB"/>
    <w:rsid w:val="7BF47B58"/>
    <w:rsid w:val="7C12381C"/>
    <w:rsid w:val="7C3D218A"/>
    <w:rsid w:val="7C704F30"/>
    <w:rsid w:val="7CD81C6E"/>
    <w:rsid w:val="7CEC43AA"/>
    <w:rsid w:val="7D0E4045"/>
    <w:rsid w:val="7D231D81"/>
    <w:rsid w:val="7D3A7440"/>
    <w:rsid w:val="7D433810"/>
    <w:rsid w:val="7E050DA4"/>
    <w:rsid w:val="7E1A1D0F"/>
    <w:rsid w:val="7E24531A"/>
    <w:rsid w:val="7E4F5A20"/>
    <w:rsid w:val="7EED1230"/>
    <w:rsid w:val="7F8B3A9E"/>
    <w:rsid w:val="7FE904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imes New Roman"/>
      <w:sz w:val="24"/>
      <w:szCs w:val="22"/>
      <w:lang w:val="en-US" w:eastAsia="zh-CN" w:bidi="ar-SA"/>
    </w:rPr>
  </w:style>
  <w:style w:type="paragraph" w:styleId="3">
    <w:name w:val="heading 1"/>
    <w:basedOn w:val="1"/>
    <w:next w:val="1"/>
    <w:link w:val="26"/>
    <w:qFormat/>
    <w:uiPriority w:val="0"/>
    <w:pPr>
      <w:keepNext/>
      <w:keepLines/>
      <w:spacing w:before="50" w:beforeLines="50" w:after="50" w:afterLines="50" w:line="576" w:lineRule="auto"/>
      <w:jc w:val="center"/>
      <w:outlineLvl w:val="0"/>
    </w:pPr>
    <w:rPr>
      <w:rFonts w:ascii="Calibri" w:hAnsi="Calibri"/>
      <w:b/>
      <w:kern w:val="44"/>
      <w:sz w:val="32"/>
      <w:szCs w:val="20"/>
      <w:lang w:val="zh-CN" w:eastAsia="zh-CN"/>
    </w:rPr>
  </w:style>
  <w:style w:type="paragraph" w:styleId="2">
    <w:name w:val="heading 2"/>
    <w:basedOn w:val="1"/>
    <w:next w:val="1"/>
    <w:link w:val="23"/>
    <w:qFormat/>
    <w:uiPriority w:val="0"/>
    <w:pPr>
      <w:keepNext/>
      <w:keepLines/>
      <w:spacing w:before="50" w:beforeLines="50" w:after="50" w:afterLines="50"/>
      <w:outlineLvl w:val="1"/>
    </w:pPr>
    <w:rPr>
      <w:rFonts w:ascii="Times New Roman" w:hAnsi="Times New Roman"/>
      <w:b/>
      <w:sz w:val="28"/>
      <w:szCs w:val="20"/>
      <w:lang w:val="zh-CN" w:eastAsia="zh-CN"/>
    </w:rPr>
  </w:style>
  <w:style w:type="paragraph" w:styleId="4">
    <w:name w:val="heading 3"/>
    <w:basedOn w:val="1"/>
    <w:next w:val="1"/>
    <w:qFormat/>
    <w:uiPriority w:val="0"/>
    <w:pPr>
      <w:keepNext/>
      <w:keepLines/>
      <w:ind w:left="480" w:leftChars="200"/>
      <w:outlineLvl w:val="2"/>
    </w:pPr>
    <w:rPr>
      <w:rFonts w:ascii="Times New Roman" w:hAnsi="Times New Roman"/>
      <w:b/>
      <w:bCs/>
      <w:szCs w:val="32"/>
    </w:rPr>
  </w:style>
  <w:style w:type="paragraph" w:styleId="5">
    <w:name w:val="heading 4"/>
    <w:basedOn w:val="1"/>
    <w:next w:val="1"/>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link w:val="24"/>
    <w:qFormat/>
    <w:uiPriority w:val="0"/>
    <w:pPr>
      <w:keepNext/>
      <w:keepLines/>
      <w:spacing w:before="280" w:after="290" w:line="376" w:lineRule="auto"/>
      <w:outlineLvl w:val="4"/>
    </w:pPr>
    <w:rPr>
      <w:b/>
      <w:bCs/>
      <w:sz w:val="28"/>
      <w:szCs w:val="28"/>
      <w:lang w:val="zh-CN" w:eastAsia="zh-CN"/>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7">
    <w:name w:val="Normal Indent"/>
    <w:basedOn w:val="1"/>
    <w:next w:val="1"/>
    <w:qFormat/>
    <w:uiPriority w:val="0"/>
    <w:pPr>
      <w:ind w:firstLine="420" w:firstLineChars="200"/>
    </w:pPr>
    <w:rPr>
      <w:rFonts w:ascii="Times New Roman" w:hAnsi="Times New Roman"/>
    </w:rPr>
  </w:style>
  <w:style w:type="paragraph" w:styleId="8">
    <w:name w:val="Document Map"/>
    <w:basedOn w:val="1"/>
    <w:link w:val="39"/>
    <w:qFormat/>
    <w:uiPriority w:val="0"/>
    <w:rPr>
      <w:rFonts w:ascii="宋体"/>
      <w:sz w:val="18"/>
      <w:szCs w:val="18"/>
      <w:lang w:val="zh-CN" w:eastAsia="zh-CN"/>
    </w:rPr>
  </w:style>
  <w:style w:type="paragraph" w:styleId="9">
    <w:name w:val="annotation text"/>
    <w:basedOn w:val="1"/>
    <w:link w:val="40"/>
    <w:qFormat/>
    <w:uiPriority w:val="0"/>
    <w:rPr>
      <w:lang w:val="zh-CN" w:eastAsia="zh-CN"/>
    </w:rPr>
  </w:style>
  <w:style w:type="paragraph" w:styleId="10">
    <w:name w:val="Body Text Indent"/>
    <w:basedOn w:val="1"/>
    <w:qFormat/>
    <w:uiPriority w:val="0"/>
    <w:pPr>
      <w:spacing w:after="120"/>
      <w:ind w:left="420" w:leftChars="200"/>
    </w:pPr>
  </w:style>
  <w:style w:type="paragraph" w:styleId="11">
    <w:name w:val="Balloon Text"/>
    <w:basedOn w:val="1"/>
    <w:link w:val="38"/>
    <w:qFormat/>
    <w:uiPriority w:val="0"/>
    <w:pPr>
      <w:spacing w:line="240" w:lineRule="auto"/>
    </w:pPr>
    <w:rPr>
      <w:sz w:val="18"/>
      <w:szCs w:val="18"/>
      <w:lang w:val="zh-CN" w:eastAsia="zh-CN"/>
    </w:rPr>
  </w:style>
  <w:style w:type="paragraph" w:styleId="12">
    <w:name w:val="footer"/>
    <w:basedOn w:val="1"/>
    <w:qFormat/>
    <w:uiPriority w:val="0"/>
    <w:pPr>
      <w:tabs>
        <w:tab w:val="center" w:pos="4153"/>
        <w:tab w:val="right" w:pos="8306"/>
      </w:tabs>
    </w:pPr>
    <w:rPr>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jc w:val="both"/>
    </w:pPr>
    <w:rPr>
      <w:sz w:val="18"/>
    </w:rPr>
  </w:style>
  <w:style w:type="paragraph" w:styleId="14">
    <w:name w:val="Normal (Web)"/>
    <w:basedOn w:val="1"/>
    <w:qFormat/>
    <w:uiPriority w:val="0"/>
    <w:pPr>
      <w:widowControl w:val="0"/>
      <w:spacing w:before="100" w:beforeAutospacing="1" w:after="100" w:afterAutospacing="1"/>
    </w:pPr>
    <w:rPr>
      <w:rFonts w:ascii="Calibri" w:hAnsi="Calibri" w:eastAsia="Calibri"/>
    </w:rPr>
  </w:style>
  <w:style w:type="paragraph" w:styleId="15">
    <w:name w:val="annotation subject"/>
    <w:basedOn w:val="9"/>
    <w:next w:val="9"/>
    <w:link w:val="41"/>
    <w:qFormat/>
    <w:uiPriority w:val="0"/>
    <w:rPr>
      <w:b/>
      <w:bCs/>
    </w:rPr>
  </w:style>
  <w:style w:type="paragraph" w:styleId="16">
    <w:name w:val="Body Text First Indent 2"/>
    <w:basedOn w:val="10"/>
    <w:next w:val="1"/>
    <w:qFormat/>
    <w:uiPriority w:val="0"/>
    <w:pPr>
      <w:ind w:firstLine="420" w:firstLineChars="2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0">
    <w:name w:val="Strong"/>
    <w:qFormat/>
    <w:uiPriority w:val="0"/>
    <w:rPr>
      <w:b/>
    </w:rPr>
  </w:style>
  <w:style w:type="character" w:styleId="21">
    <w:name w:val="page number"/>
    <w:basedOn w:val="19"/>
    <w:qFormat/>
    <w:uiPriority w:val="0"/>
  </w:style>
  <w:style w:type="character" w:styleId="22">
    <w:name w:val="annotation reference"/>
    <w:qFormat/>
    <w:uiPriority w:val="0"/>
    <w:rPr>
      <w:sz w:val="21"/>
      <w:szCs w:val="21"/>
    </w:rPr>
  </w:style>
  <w:style w:type="character" w:customStyle="1" w:styleId="23">
    <w:name w:val="标题 2 Char"/>
    <w:link w:val="2"/>
    <w:qFormat/>
    <w:uiPriority w:val="0"/>
    <w:rPr>
      <w:rFonts w:ascii="Times New Roman" w:hAnsi="Times New Roman" w:eastAsia="宋体" w:cs="Times New Roman"/>
      <w:b/>
      <w:sz w:val="28"/>
    </w:rPr>
  </w:style>
  <w:style w:type="character" w:customStyle="1" w:styleId="24">
    <w:name w:val="标题 5 Char"/>
    <w:link w:val="6"/>
    <w:semiHidden/>
    <w:qFormat/>
    <w:uiPriority w:val="0"/>
    <w:rPr>
      <w:rFonts w:ascii="Tahoma" w:hAnsi="Tahoma"/>
      <w:b/>
      <w:bCs/>
      <w:sz w:val="28"/>
      <w:szCs w:val="28"/>
    </w:rPr>
  </w:style>
  <w:style w:type="character" w:customStyle="1" w:styleId="25">
    <w:name w:val="正文文本 (2) + AngsanaUPC"/>
    <w:qFormat/>
    <w:uiPriority w:val="0"/>
    <w:rPr>
      <w:rFonts w:ascii="AngsanaUPC" w:hAnsi="AngsanaUPC" w:eastAsia="AngsanaUPC" w:cs="AngsanaUPC"/>
      <w:b/>
      <w:bCs/>
      <w:color w:val="000000"/>
      <w:spacing w:val="0"/>
      <w:w w:val="100"/>
      <w:position w:val="0"/>
      <w:sz w:val="36"/>
      <w:szCs w:val="36"/>
      <w:u w:val="none"/>
      <w:lang w:val="en-US" w:eastAsia="en-US" w:bidi="en-US"/>
    </w:rPr>
  </w:style>
  <w:style w:type="character" w:customStyle="1" w:styleId="26">
    <w:name w:val="标题 1 Char"/>
    <w:link w:val="3"/>
    <w:qFormat/>
    <w:uiPriority w:val="0"/>
    <w:rPr>
      <w:rFonts w:ascii="Calibri" w:hAnsi="Calibri" w:eastAsia="宋体" w:cs="Times New Roman"/>
      <w:b/>
      <w:kern w:val="44"/>
      <w:sz w:val="32"/>
    </w:rPr>
  </w:style>
  <w:style w:type="character" w:customStyle="1" w:styleId="27">
    <w:name w:val="正文文本 (2) + 10 pt"/>
    <w:qFormat/>
    <w:uiPriority w:val="0"/>
    <w:rPr>
      <w:rFonts w:ascii="MingLiU" w:hAnsi="MingLiU" w:eastAsia="MingLiU" w:cs="MingLiU"/>
      <w:color w:val="000000"/>
      <w:spacing w:val="0"/>
      <w:w w:val="100"/>
      <w:position w:val="0"/>
      <w:sz w:val="20"/>
      <w:szCs w:val="20"/>
      <w:u w:val="none"/>
      <w:lang w:val="zh-TW" w:eastAsia="zh-TW" w:bidi="zh-TW"/>
    </w:rPr>
  </w:style>
  <w:style w:type="character" w:customStyle="1" w:styleId="28">
    <w:name w:val="正文文本 (2) + Constantia"/>
    <w:qFormat/>
    <w:uiPriority w:val="0"/>
    <w:rPr>
      <w:rFonts w:ascii="Constantia" w:hAnsi="Constantia" w:eastAsia="Constantia" w:cs="Constantia"/>
      <w:b/>
      <w:bCs/>
      <w:color w:val="000000"/>
      <w:spacing w:val="0"/>
      <w:w w:val="100"/>
      <w:position w:val="0"/>
      <w:sz w:val="21"/>
      <w:szCs w:val="21"/>
      <w:u w:val="none"/>
      <w:lang w:val="en-US" w:eastAsia="en-US" w:bidi="en-US"/>
    </w:rPr>
  </w:style>
  <w:style w:type="character" w:customStyle="1" w:styleId="29">
    <w:name w:val="正文文本 (2)_"/>
    <w:link w:val="30"/>
    <w:qFormat/>
    <w:uiPriority w:val="0"/>
    <w:rPr>
      <w:rFonts w:ascii="MingLiU" w:hAnsi="MingLiU" w:eastAsia="MingLiU" w:cs="MingLiU"/>
      <w:spacing w:val="0"/>
      <w:sz w:val="22"/>
      <w:szCs w:val="22"/>
      <w:u w:val="none"/>
    </w:rPr>
  </w:style>
  <w:style w:type="paragraph" w:customStyle="1" w:styleId="30">
    <w:name w:val="正文文本 (2)1"/>
    <w:basedOn w:val="1"/>
    <w:link w:val="29"/>
    <w:qFormat/>
    <w:uiPriority w:val="0"/>
    <w:pPr>
      <w:widowControl w:val="0"/>
      <w:shd w:val="clear" w:color="auto" w:fill="FFFFFF"/>
      <w:spacing w:line="0" w:lineRule="atLeast"/>
    </w:pPr>
    <w:rPr>
      <w:rFonts w:ascii="MingLiU" w:hAnsi="MingLiU" w:eastAsia="MingLiU"/>
      <w:sz w:val="22"/>
      <w:lang w:val="zh-CN" w:eastAsia="zh-CN"/>
    </w:rPr>
  </w:style>
  <w:style w:type="character" w:customStyle="1" w:styleId="31">
    <w:name w:val="正文文本 (2) + 间距 0 pt"/>
    <w:qFormat/>
    <w:uiPriority w:val="0"/>
    <w:rPr>
      <w:rFonts w:ascii="MingLiU" w:hAnsi="MingLiU" w:eastAsia="MingLiU" w:cs="MingLiU"/>
      <w:color w:val="000000"/>
      <w:spacing w:val="-10"/>
      <w:w w:val="100"/>
      <w:position w:val="0"/>
      <w:sz w:val="22"/>
      <w:szCs w:val="22"/>
      <w:u w:val="none"/>
      <w:lang w:val="zh-TW" w:eastAsia="zh-TW" w:bidi="zh-TW"/>
    </w:rPr>
  </w:style>
  <w:style w:type="paragraph" w:customStyle="1" w:styleId="32">
    <w:name w:val="正文文本 (2)"/>
    <w:basedOn w:val="1"/>
    <w:qFormat/>
    <w:uiPriority w:val="0"/>
    <w:pPr>
      <w:widowControl w:val="0"/>
      <w:shd w:val="clear" w:color="auto" w:fill="FFFFFF"/>
      <w:spacing w:before="840" w:after="960" w:line="0" w:lineRule="atLeast"/>
      <w:jc w:val="right"/>
    </w:pPr>
    <w:rPr>
      <w:rFonts w:ascii="MingLiU" w:hAnsi="MingLiU" w:eastAsia="MingLiU" w:cs="MingLiU"/>
      <w:spacing w:val="20"/>
      <w:sz w:val="30"/>
      <w:szCs w:val="30"/>
    </w:rPr>
  </w:style>
  <w:style w:type="paragraph" w:customStyle="1" w:styleId="33">
    <w:name w:val="正文文本 (25)"/>
    <w:basedOn w:val="1"/>
    <w:qFormat/>
    <w:uiPriority w:val="0"/>
    <w:pPr>
      <w:widowControl w:val="0"/>
      <w:shd w:val="clear" w:color="auto" w:fill="FFFFFF"/>
      <w:spacing w:line="571" w:lineRule="exact"/>
    </w:pPr>
    <w:rPr>
      <w:rFonts w:ascii="MingLiU" w:hAnsi="MingLiU" w:eastAsia="MingLiU" w:cs="MingLiU"/>
      <w:spacing w:val="-10"/>
      <w:sz w:val="21"/>
      <w:szCs w:val="21"/>
    </w:rPr>
  </w:style>
  <w:style w:type="paragraph" w:customStyle="1" w:styleId="34">
    <w:name w:val="text-muted"/>
    <w:basedOn w:val="1"/>
    <w:qFormat/>
    <w:uiPriority w:val="0"/>
    <w:pPr>
      <w:spacing w:before="100" w:beforeAutospacing="1" w:after="100" w:afterAutospacing="1"/>
    </w:pPr>
    <w:rPr>
      <w:rFonts w:ascii="宋体" w:hAnsi="宋体" w:cs="宋体"/>
    </w:rPr>
  </w:style>
  <w:style w:type="paragraph" w:customStyle="1" w:styleId="35">
    <w:name w:val="正文样式1"/>
    <w:basedOn w:val="1"/>
    <w:qFormat/>
    <w:uiPriority w:val="0"/>
    <w:pPr>
      <w:ind w:firstLine="480"/>
    </w:pPr>
    <w:rPr>
      <w:rFonts w:ascii="Calibri" w:hAnsi="Calibri" w:cs="宋体"/>
      <w:szCs w:val="20"/>
    </w:rPr>
  </w:style>
  <w:style w:type="paragraph" w:styleId="36">
    <w:name w:val="List Paragraph"/>
    <w:basedOn w:val="1"/>
    <w:qFormat/>
    <w:uiPriority w:val="0"/>
    <w:pPr>
      <w:widowControl w:val="0"/>
      <w:adjustRightInd/>
      <w:snapToGrid/>
      <w:ind w:firstLine="420" w:firstLineChars="200"/>
      <w:jc w:val="both"/>
    </w:pPr>
    <w:rPr>
      <w:rFonts w:ascii="Times New Roman" w:hAnsi="Times New Roman"/>
      <w:kern w:val="2"/>
      <w:sz w:val="21"/>
      <w:szCs w:val="20"/>
    </w:rPr>
  </w:style>
  <w:style w:type="paragraph" w:customStyle="1" w:styleId="37">
    <w:name w:val="Table Paragraph"/>
    <w:basedOn w:val="1"/>
    <w:qFormat/>
    <w:uiPriority w:val="1"/>
    <w:pPr>
      <w:jc w:val="center"/>
    </w:pPr>
    <w:rPr>
      <w:rFonts w:ascii="Times New Roman" w:hAnsi="Times New Roman" w:eastAsia="Times New Roman"/>
      <w:lang w:val="zh-CN" w:bidi="zh-CN"/>
    </w:rPr>
  </w:style>
  <w:style w:type="character" w:customStyle="1" w:styleId="38">
    <w:name w:val="批注框文本 Char"/>
    <w:link w:val="11"/>
    <w:qFormat/>
    <w:uiPriority w:val="0"/>
    <w:rPr>
      <w:rFonts w:ascii="Tahoma" w:hAnsi="Tahoma"/>
      <w:sz w:val="18"/>
      <w:szCs w:val="18"/>
    </w:rPr>
  </w:style>
  <w:style w:type="character" w:customStyle="1" w:styleId="39">
    <w:name w:val="文档结构图 Char"/>
    <w:link w:val="8"/>
    <w:qFormat/>
    <w:uiPriority w:val="0"/>
    <w:rPr>
      <w:rFonts w:ascii="宋体" w:hAnsi="Tahoma"/>
      <w:sz w:val="18"/>
      <w:szCs w:val="18"/>
    </w:rPr>
  </w:style>
  <w:style w:type="character" w:customStyle="1" w:styleId="40">
    <w:name w:val="批注文字 Char"/>
    <w:link w:val="9"/>
    <w:qFormat/>
    <w:uiPriority w:val="0"/>
    <w:rPr>
      <w:rFonts w:ascii="Tahoma" w:hAnsi="Tahoma"/>
      <w:sz w:val="24"/>
      <w:szCs w:val="22"/>
    </w:rPr>
  </w:style>
  <w:style w:type="character" w:customStyle="1" w:styleId="41">
    <w:name w:val="批注主题 Char"/>
    <w:basedOn w:val="40"/>
    <w:link w:val="15"/>
    <w:qFormat/>
    <w:uiPriority w:val="0"/>
    <w:rPr>
      <w:rFonts w:ascii="Tahoma" w:hAnsi="Tahoma"/>
      <w:sz w:val="2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emf"/><Relationship Id="rId12" Type="http://schemas.openxmlformats.org/officeDocument/2006/relationships/oleObject" Target="embeddings/oleObject2.bin"/><Relationship Id="rId11" Type="http://schemas.openxmlformats.org/officeDocument/2006/relationships/image" Target="media/image6.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56F475-ABAA-450F-BA98-66CADCC46578}">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26</Pages>
  <Words>7605</Words>
  <Characters>8290</Characters>
  <Lines>99</Lines>
  <Paragraphs>27</Paragraphs>
  <TotalTime>21</TotalTime>
  <ScaleCrop>false</ScaleCrop>
  <LinksUpToDate>false</LinksUpToDate>
  <CharactersWithSpaces>8516</CharactersWithSpaces>
  <Application>WPS Office_11.1.0.8900_F1E327BC-269C-435d-A152-05C5408002CA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2019-05-10T01:53:00Z</dcterms:created>
  <dc:creator>User</dc:creator>
  <cp:lastModifiedBy>梨落</cp:lastModifiedBy>
  <cp:lastPrinted>2018-09-03T09:13:00Z</cp:lastPrinted>
  <dcterms:modified xsi:type="dcterms:W3CDTF">2019-08-20T02:51:16Z</dcterms:modified>
  <cp:revision>153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2052-11.1.0.8900</vt:lpwstr>
  </property>
</Properties>
</file>