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pPr>
        <w:adjustRightInd w:val="0"/>
        <w:snapToGrid w:val="0"/>
        <w:jc w:val="left"/>
        <w:rPr>
          <w:rFonts w:ascii="Times New Roman" w:hAnsi="Times New Roman" w:eastAsia="黑体" w:cs="Times New Roman"/>
          <w:sz w:val="32"/>
          <w:szCs w:val="32"/>
        </w:rPr>
      </w:pPr>
    </w:p>
    <w:p>
      <w:pPr>
        <w:adjustRightInd w:val="0"/>
        <w:snapToGrid w:val="0"/>
        <w:spacing w:beforeLines="50" w:afterLines="50"/>
        <w:jc w:val="center"/>
        <w:rPr>
          <w:rFonts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rPr>
        <w:t>西咸新区</w:t>
      </w:r>
      <w:r>
        <w:rPr>
          <w:rFonts w:hint="eastAsia" w:ascii="Times New Roman" w:hAnsi="Times New Roman" w:eastAsia="方正小标宋简体" w:cs="Times New Roman"/>
          <w:sz w:val="44"/>
          <w:szCs w:val="44"/>
          <w:lang w:val="en-US" w:eastAsia="zh-CN"/>
        </w:rPr>
        <w:t>秦汉新城</w:t>
      </w:r>
      <w:r>
        <w:rPr>
          <w:rFonts w:ascii="Times New Roman" w:hAnsi="Times New Roman" w:eastAsia="方正小标宋简体" w:cs="Times New Roman"/>
          <w:sz w:val="44"/>
          <w:szCs w:val="44"/>
        </w:rPr>
        <w:t>环评告知承诺制审批</w:t>
      </w:r>
    </w:p>
    <w:p>
      <w:pPr>
        <w:adjustRightInd w:val="0"/>
        <w:snapToGrid w:val="0"/>
        <w:spacing w:beforeLines="50" w:afterLines="5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改革试点范围</w:t>
      </w:r>
    </w:p>
    <w:bookmarkEnd w:id="0"/>
    <w:tbl>
      <w:tblPr>
        <w:tblStyle w:val="2"/>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357"/>
        <w:gridCol w:w="709"/>
        <w:gridCol w:w="3827"/>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46" w:type="dxa"/>
            <w:shd w:val="clear" w:color="auto" w:fill="auto"/>
            <w:vAlign w:val="center"/>
          </w:tcPr>
          <w:p>
            <w:pPr>
              <w:widowControl/>
              <w:snapToGri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序号</w:t>
            </w:r>
          </w:p>
        </w:tc>
        <w:tc>
          <w:tcPr>
            <w:tcW w:w="3066" w:type="dxa"/>
            <w:gridSpan w:val="2"/>
            <w:shd w:val="clear" w:color="auto" w:fill="auto"/>
            <w:vAlign w:val="center"/>
          </w:tcPr>
          <w:p>
            <w:pPr>
              <w:widowControl/>
              <w:snapToGri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《名录》 项目类别号</w:t>
            </w:r>
          </w:p>
        </w:tc>
        <w:tc>
          <w:tcPr>
            <w:tcW w:w="3827" w:type="dxa"/>
            <w:shd w:val="clear" w:color="auto" w:fill="auto"/>
            <w:vAlign w:val="center"/>
          </w:tcPr>
          <w:p>
            <w:pPr>
              <w:widowControl/>
              <w:snapToGri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项目类别</w:t>
            </w:r>
          </w:p>
        </w:tc>
        <w:tc>
          <w:tcPr>
            <w:tcW w:w="1229" w:type="dxa"/>
            <w:shd w:val="clear" w:color="auto" w:fill="auto"/>
            <w:vAlign w:val="center"/>
          </w:tcPr>
          <w:p>
            <w:pPr>
              <w:widowControl/>
              <w:snapToGri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文件类别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一、畜牧业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畜禽养殖场、养殖小区（对其中生猪养殖项目，按照《陕西省生态环境厅陕西省农业农村厅关于转发进一步做好当前生猪规模养殖环评管理相关工作的通知》（陕环函〔 2019〕335 号）执行）。</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二、农副食品加工业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粮食及饲料加工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植物油加工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制糖、糖制品加工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肉禽类加工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水产品加工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淀粉、淀粉糖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豆制品制造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三、食品制造业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11</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方便食品制造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12</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乳制品制造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11</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13</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调味品、发酵制品制造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12</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14</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盐加工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13</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饲料添加剂、食品添加剂制造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14</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16</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营养食品、保健食品、冷冻饮品、 食用冰制造及其他食品制造</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四、酒、饮料制造业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18</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果菜汁类及其他软饮料制造</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16</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十二、印刷和记录媒介复制业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30</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印刷厂；磁材料制品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17</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十三、文教、工美、 体育和娱乐用品制造业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31</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文教、体育、娱乐用品制造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18</w:t>
            </w:r>
          </w:p>
        </w:tc>
        <w:tc>
          <w:tcPr>
            <w:tcW w:w="2357" w:type="dxa"/>
            <w:vMerge w:val="continue"/>
            <w:shd w:val="clear" w:color="auto" w:fill="auto"/>
            <w:vAlign w:val="center"/>
          </w:tcPr>
          <w:p>
            <w:pPr>
              <w:widowControl/>
              <w:snapToGrid w:val="0"/>
              <w:jc w:val="righ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32</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工艺品制造</w:t>
            </w:r>
          </w:p>
        </w:tc>
        <w:tc>
          <w:tcPr>
            <w:tcW w:w="1229" w:type="dxa"/>
            <w:shd w:val="clear" w:color="auto" w:fill="auto"/>
            <w:noWrap/>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19</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二十三、通用设备制造业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69</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通用设备制造及维修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二十四、专用设备制造业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70</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专用设备制造及维修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21</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二十五、汽车制造业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71</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汽车制造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22</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二十六、铁路、船舶、航空航天和其他运输设备制造业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72</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铁路运输设备制造及修理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23</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73</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船舶和相关装置制造及维修（拆船、修船厂除外）</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24</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74</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航空航天器制造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25</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75</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摩托车制造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26</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76</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自行车制造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27</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77</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交通器材及其他交通运输设备制造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28</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二十七、电气机械和器材制造业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78</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电气机械及器材制造（铅蓄电池制造除外）</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29</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二十八、计算机、通信和其他电子设备制造业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80</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计算机制造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30</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81</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智能消费设备制造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31</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82</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电子器件制造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32</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83</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电子元件及电子专用材料制造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33</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84</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通信设备制造、广播电视设备制造、雷达及配套设备制造、非专业视听设备制造及其他电子设备制造</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34</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二十九、 仪器仪表制造业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85</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仪器仪表制造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报告书、报告表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35</w:t>
            </w:r>
          </w:p>
        </w:tc>
        <w:tc>
          <w:tcPr>
            <w:tcW w:w="2357" w:type="dxa"/>
            <w:vMerge w:val="restart"/>
            <w:shd w:val="clear" w:color="auto" w:fill="auto"/>
            <w:vAlign w:val="center"/>
          </w:tcPr>
          <w:p>
            <w:pPr>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三十二、 燃气生产和供应业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93</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煤气生产和供应工程</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36</w:t>
            </w:r>
          </w:p>
        </w:tc>
        <w:tc>
          <w:tcPr>
            <w:tcW w:w="2357" w:type="dxa"/>
            <w:vMerge w:val="continue"/>
            <w:shd w:val="clear" w:color="auto" w:fill="auto"/>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94</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城市天然气供应工程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37</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三十三、 水的生产和供应业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95</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自来水生产和供应工程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38</w:t>
            </w:r>
          </w:p>
        </w:tc>
        <w:tc>
          <w:tcPr>
            <w:tcW w:w="2357" w:type="dxa"/>
            <w:vMerge w:val="continue"/>
            <w:shd w:val="clear" w:color="auto" w:fill="auto"/>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97</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工业废水处理</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39</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三十四、环境治理业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99</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脱硫、脱硝、除尘、VOCs治理等工程</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40</w:t>
            </w:r>
          </w:p>
        </w:tc>
        <w:tc>
          <w:tcPr>
            <w:tcW w:w="2357" w:type="dxa"/>
            <w:vMerge w:val="continue"/>
            <w:shd w:val="clear" w:color="auto" w:fill="auto"/>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102</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污染场地治理修复</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41</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三十五、公共设施管理业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103</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城镇生活垃圾转运站</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42</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三十六、 房地产 </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106</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房地产开发、宾馆、酒店、办公用房、标准厂房等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43</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三十七、研究和实验发展</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107</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专业实验室</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44</w:t>
            </w:r>
          </w:p>
        </w:tc>
        <w:tc>
          <w:tcPr>
            <w:tcW w:w="2357" w:type="dxa"/>
            <w:vMerge w:val="continue"/>
            <w:shd w:val="clear" w:color="auto" w:fill="auto"/>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108</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研发基地</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45</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四十、 社会事业与服务业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117</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滑雪场、狩猎场、赛车场、跑马场、射击场、水上运动中心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46</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119</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公园（含动物园、植物园、主题公园）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47</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120</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旅游开发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48</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121</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影视基地建设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49</w:t>
            </w:r>
          </w:p>
        </w:tc>
        <w:tc>
          <w:tcPr>
            <w:tcW w:w="235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四十七、农业、林业、渔业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149</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经济林基地项目</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50</w:t>
            </w:r>
          </w:p>
        </w:tc>
        <w:tc>
          <w:tcPr>
            <w:tcW w:w="2357" w:type="dxa"/>
            <w:vMerge w:val="restart"/>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四十九、交通运输业、管道运输业和仓储业</w:t>
            </w: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157</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等级公路（不含维护，不含改扩建四级公路）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51</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172</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城市道路（不含维护，不含支路）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52</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173</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城市桥梁、隧道（不含人行天桥、 人行地道）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53</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174</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长途客运站 </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46"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54</w:t>
            </w:r>
          </w:p>
        </w:tc>
        <w:tc>
          <w:tcPr>
            <w:tcW w:w="2357" w:type="dxa"/>
            <w:vMerge w:val="continue"/>
            <w:shd w:val="clear" w:color="auto" w:fill="auto"/>
            <w:noWrap/>
            <w:vAlign w:val="center"/>
          </w:tcPr>
          <w:p>
            <w:pPr>
              <w:widowControl/>
              <w:snapToGrid w:val="0"/>
              <w:jc w:val="left"/>
              <w:rPr>
                <w:rFonts w:ascii="Times New Roman" w:hAnsi="Times New Roman" w:eastAsia="仿宋_GB2312" w:cs="Times New Roman"/>
                <w:kern w:val="0"/>
                <w:sz w:val="24"/>
                <w:szCs w:val="24"/>
              </w:rPr>
            </w:pPr>
          </w:p>
        </w:tc>
        <w:tc>
          <w:tcPr>
            <w:tcW w:w="709" w:type="dxa"/>
            <w:shd w:val="clear" w:color="auto" w:fill="auto"/>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175</w:t>
            </w:r>
          </w:p>
        </w:tc>
        <w:tc>
          <w:tcPr>
            <w:tcW w:w="3827"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城镇管网及管廊建设</w:t>
            </w:r>
          </w:p>
        </w:tc>
        <w:tc>
          <w:tcPr>
            <w:tcW w:w="1229" w:type="dxa"/>
            <w:shd w:val="clear" w:color="auto" w:fill="auto"/>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报告表</w:t>
            </w:r>
          </w:p>
        </w:tc>
      </w:tr>
    </w:tbl>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414A8"/>
    <w:rsid w:val="0AF4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2020-04-16T01:38:00Z</dcterms:created>
  <dc:creator> ぶ以前以后ゅ</dc:creator>
  <cp:lastModifiedBy> ぶ以前以后ゅ</cp:lastModifiedBy>
  <dcterms:modified xsi:type="dcterms:W3CDTF">2020-04-16T01:39:33Z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