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560"/>
        <w:rPr>
          <w:rFonts w:hint="default" w:ascii="Times New Roman" w:hAnsi="Times New Roman" w:eastAsia="仿宋" w:cs="Times New Roman"/>
          <w:b/>
          <w:kern w:val="1"/>
          <w:sz w:val="28"/>
          <w:szCs w:val="28"/>
        </w:rPr>
      </w:pPr>
    </w:p>
    <w:p>
      <w:pPr>
        <w:jc w:val="left"/>
        <w:rPr>
          <w:rFonts w:hint="default" w:ascii="Times New Roman" w:hAnsi="Times New Roman" w:eastAsia="仿宋" w:cs="Times New Roman"/>
          <w:sz w:val="52"/>
          <w:szCs w:val="52"/>
        </w:rPr>
      </w:pPr>
    </w:p>
    <w:p>
      <w:pPr>
        <w:pStyle w:val="2"/>
        <w:rPr>
          <w:rFonts w:hint="default"/>
        </w:rPr>
      </w:pPr>
    </w:p>
    <w:p>
      <w:pPr>
        <w:jc w:val="center"/>
        <w:rPr>
          <w:rFonts w:hint="default" w:ascii="Times New Roman" w:hAnsi="Times New Roman" w:cs="Times New Roman" w:eastAsiaTheme="minorEastAsia"/>
          <w:b/>
          <w:spacing w:val="6"/>
          <w:sz w:val="48"/>
          <w:szCs w:val="48"/>
          <w:lang w:val="zh-CN"/>
        </w:rPr>
      </w:pPr>
      <w:r>
        <w:rPr>
          <w:rFonts w:hint="default" w:ascii="Times New Roman" w:hAnsi="Times New Roman" w:cs="Times New Roman" w:eastAsiaTheme="minorEastAsia"/>
          <w:b/>
          <w:spacing w:val="6"/>
          <w:sz w:val="48"/>
          <w:szCs w:val="48"/>
          <w:lang w:val="zh-CN"/>
        </w:rPr>
        <w:t>陕西</w:t>
      </w:r>
      <w:r>
        <w:rPr>
          <w:rFonts w:hint="eastAsia" w:cs="Times New Roman" w:eastAsiaTheme="minorEastAsia"/>
          <w:b/>
          <w:spacing w:val="6"/>
          <w:sz w:val="48"/>
          <w:szCs w:val="48"/>
          <w:lang w:val="zh-CN"/>
        </w:rPr>
        <w:t>东泽高科实业</w:t>
      </w:r>
      <w:r>
        <w:rPr>
          <w:rFonts w:hint="default" w:ascii="Times New Roman" w:hAnsi="Times New Roman" w:cs="Times New Roman" w:eastAsiaTheme="minorEastAsia"/>
          <w:b/>
          <w:spacing w:val="6"/>
          <w:sz w:val="48"/>
          <w:szCs w:val="48"/>
          <w:lang w:val="zh-CN"/>
        </w:rPr>
        <w:t>有限公司</w:t>
      </w:r>
    </w:p>
    <w:p>
      <w:pPr>
        <w:jc w:val="center"/>
        <w:rPr>
          <w:rFonts w:hint="default" w:ascii="Times New Roman" w:hAnsi="Times New Roman" w:eastAsia="华文行楷" w:cs="Times New Roman"/>
          <w:b/>
          <w:spacing w:val="6"/>
          <w:sz w:val="48"/>
          <w:szCs w:val="48"/>
          <w:lang w:val="zh-CN"/>
        </w:rPr>
      </w:pPr>
      <w:r>
        <w:rPr>
          <w:rFonts w:hint="default" w:ascii="Times New Roman" w:hAnsi="Times New Roman" w:eastAsia="华文行楷" w:cs="Times New Roman"/>
          <w:b/>
          <w:spacing w:val="6"/>
          <w:sz w:val="48"/>
          <w:szCs w:val="48"/>
          <w:lang w:val="zh-CN"/>
        </w:rPr>
        <w:t>突发环境事件应急预案编制情况说明</w:t>
      </w:r>
    </w:p>
    <w:p>
      <w:pPr>
        <w:jc w:val="center"/>
        <w:rPr>
          <w:rFonts w:hint="default" w:ascii="Times New Roman" w:hAnsi="Times New Roman" w:eastAsia="黑体" w:cs="Times New Roman"/>
          <w:spacing w:val="6"/>
          <w:sz w:val="52"/>
          <w:szCs w:val="52"/>
          <w:lang w:val="zh-CN"/>
        </w:rPr>
      </w:pPr>
    </w:p>
    <w:p>
      <w:pPr>
        <w:jc w:val="center"/>
        <w:rPr>
          <w:rFonts w:hint="default" w:ascii="Times New Roman" w:hAnsi="Times New Roman" w:eastAsia="黑体" w:cs="Times New Roman"/>
          <w:spacing w:val="6"/>
          <w:sz w:val="52"/>
          <w:szCs w:val="52"/>
          <w:lang w:val="zh-CN"/>
        </w:rPr>
      </w:pPr>
    </w:p>
    <w:p>
      <w:pPr>
        <w:jc w:val="center"/>
        <w:rPr>
          <w:rFonts w:hint="default" w:ascii="Times New Roman" w:hAnsi="Times New Roman" w:eastAsia="黑体" w:cs="Times New Roman"/>
          <w:spacing w:val="6"/>
          <w:sz w:val="52"/>
          <w:szCs w:val="52"/>
          <w:lang w:val="zh-CN"/>
        </w:rPr>
      </w:pPr>
    </w:p>
    <w:p>
      <w:pPr>
        <w:jc w:val="center"/>
        <w:rPr>
          <w:rFonts w:hint="default" w:ascii="Times New Roman" w:hAnsi="Times New Roman" w:eastAsia="黑体" w:cs="Times New Roman"/>
          <w:spacing w:val="6"/>
          <w:sz w:val="52"/>
          <w:szCs w:val="52"/>
          <w:lang w:val="zh-CN"/>
        </w:rPr>
      </w:pPr>
    </w:p>
    <w:p>
      <w:pPr>
        <w:jc w:val="center"/>
        <w:rPr>
          <w:rFonts w:hint="default" w:ascii="Times New Roman" w:hAnsi="Times New Roman" w:eastAsia="黑体" w:cs="Times New Roman"/>
          <w:spacing w:val="6"/>
          <w:sz w:val="52"/>
          <w:szCs w:val="52"/>
          <w:lang w:val="zh-CN"/>
        </w:rPr>
      </w:pPr>
    </w:p>
    <w:p>
      <w:pPr>
        <w:jc w:val="center"/>
        <w:rPr>
          <w:rFonts w:hint="default" w:ascii="Times New Roman" w:hAnsi="Times New Roman" w:eastAsia="黑体" w:cs="Times New Roman"/>
          <w:spacing w:val="6"/>
          <w:sz w:val="52"/>
          <w:szCs w:val="52"/>
          <w:lang w:val="zh-CN"/>
        </w:rPr>
      </w:pPr>
    </w:p>
    <w:p>
      <w:pPr>
        <w:pStyle w:val="2"/>
        <w:rPr>
          <w:rFonts w:hint="default" w:ascii="Times New Roman" w:hAnsi="Times New Roman" w:eastAsia="黑体" w:cs="Times New Roman"/>
          <w:spacing w:val="6"/>
          <w:sz w:val="52"/>
          <w:szCs w:val="52"/>
          <w:lang w:val="zh-CN"/>
        </w:rPr>
      </w:pPr>
    </w:p>
    <w:p>
      <w:pPr>
        <w:rPr>
          <w:rFonts w:hint="default"/>
          <w:lang w:val="zh-CN"/>
        </w:rPr>
      </w:pPr>
    </w:p>
    <w:p>
      <w:pPr>
        <w:jc w:val="both"/>
        <w:rPr>
          <w:rFonts w:hint="default" w:ascii="Times New Roman" w:hAnsi="Times New Roman" w:eastAsia="黑体" w:cs="Times New Roman"/>
          <w:spacing w:val="6"/>
          <w:sz w:val="52"/>
          <w:szCs w:val="52"/>
          <w:lang w:val="zh-CN"/>
        </w:rPr>
      </w:pPr>
    </w:p>
    <w:p>
      <w:pPr>
        <w:pStyle w:val="2"/>
        <w:rPr>
          <w:rFonts w:hint="default" w:ascii="Times New Roman" w:hAnsi="Times New Roman" w:eastAsia="黑体" w:cs="Times New Roman"/>
          <w:spacing w:val="6"/>
          <w:sz w:val="52"/>
          <w:szCs w:val="52"/>
          <w:lang w:val="zh-CN"/>
        </w:rPr>
      </w:pPr>
    </w:p>
    <w:p>
      <w:pPr>
        <w:rPr>
          <w:rFonts w:hint="default" w:ascii="Times New Roman" w:hAnsi="Times New Roman" w:eastAsia="黑体" w:cs="Times New Roman"/>
          <w:spacing w:val="6"/>
          <w:sz w:val="52"/>
          <w:szCs w:val="52"/>
          <w:lang w:val="zh-CN"/>
        </w:rPr>
      </w:pPr>
    </w:p>
    <w:p>
      <w:pPr>
        <w:pStyle w:val="2"/>
        <w:rPr>
          <w:rFonts w:hint="default" w:ascii="Times New Roman" w:hAnsi="Times New Roman" w:eastAsia="黑体" w:cs="Times New Roman"/>
          <w:spacing w:val="6"/>
          <w:sz w:val="52"/>
          <w:szCs w:val="52"/>
          <w:lang w:val="zh-CN"/>
        </w:rPr>
      </w:pPr>
    </w:p>
    <w:p>
      <w:pPr>
        <w:rPr>
          <w:rFonts w:hint="default"/>
          <w:lang w:val="zh-CN"/>
        </w:rPr>
      </w:pPr>
    </w:p>
    <w:p>
      <w:pPr>
        <w:jc w:val="center"/>
        <w:rPr>
          <w:rFonts w:hint="default" w:ascii="Times New Roman" w:hAnsi="Times New Roman" w:cs="Times New Roman" w:eastAsiaTheme="minorEastAsia"/>
          <w:b/>
          <w:sz w:val="36"/>
          <w:szCs w:val="36"/>
        </w:rPr>
      </w:pPr>
      <w:r>
        <w:rPr>
          <w:rFonts w:hint="default" w:ascii="Times New Roman" w:hAnsi="Times New Roman" w:cs="Times New Roman" w:eastAsiaTheme="minorEastAsia"/>
          <w:b/>
          <w:sz w:val="36"/>
          <w:szCs w:val="36"/>
        </w:rPr>
        <w:t>陕西</w:t>
      </w:r>
      <w:r>
        <w:rPr>
          <w:rFonts w:hint="eastAsia" w:cs="Times New Roman" w:eastAsiaTheme="minorEastAsia"/>
          <w:b/>
          <w:sz w:val="36"/>
          <w:szCs w:val="36"/>
          <w:lang w:eastAsia="zh-CN"/>
        </w:rPr>
        <w:t>东泽高科实业</w:t>
      </w:r>
      <w:r>
        <w:rPr>
          <w:rFonts w:hint="default" w:ascii="Times New Roman" w:hAnsi="Times New Roman" w:cs="Times New Roman" w:eastAsiaTheme="minorEastAsia"/>
          <w:b/>
          <w:sz w:val="36"/>
          <w:szCs w:val="36"/>
        </w:rPr>
        <w:t>有限公司</w:t>
      </w:r>
    </w:p>
    <w:p>
      <w:pPr>
        <w:jc w:val="center"/>
        <w:rPr>
          <w:rFonts w:hint="default" w:ascii="Times New Roman" w:hAnsi="Times New Roman" w:cs="Times New Roman" w:eastAsiaTheme="minorEastAsia"/>
          <w:b/>
          <w:sz w:val="36"/>
          <w:szCs w:val="36"/>
        </w:rPr>
      </w:pPr>
      <w:r>
        <w:rPr>
          <w:rFonts w:hint="default" w:ascii="Times New Roman" w:hAnsi="Times New Roman" w:cs="Times New Roman" w:eastAsiaTheme="minorEastAsia"/>
          <w:b/>
          <w:sz w:val="36"/>
          <w:szCs w:val="36"/>
        </w:rPr>
        <w:t>二〇一八年</w:t>
      </w:r>
      <w:r>
        <w:rPr>
          <w:rFonts w:hint="eastAsia" w:cs="Times New Roman" w:eastAsiaTheme="minorEastAsia"/>
          <w:b/>
          <w:sz w:val="36"/>
          <w:szCs w:val="36"/>
          <w:lang w:eastAsia="zh-CN"/>
        </w:rPr>
        <w:t>七</w:t>
      </w:r>
      <w:r>
        <w:rPr>
          <w:rFonts w:hint="default" w:ascii="Times New Roman" w:hAnsi="Times New Roman" w:cs="Times New Roman" w:eastAsiaTheme="minorEastAsia"/>
          <w:b/>
          <w:sz w:val="36"/>
          <w:szCs w:val="36"/>
        </w:rPr>
        <w:t>月</w:t>
      </w:r>
    </w:p>
    <w:p>
      <w:pPr>
        <w:jc w:val="center"/>
        <w:rPr>
          <w:rFonts w:hint="default" w:ascii="Times New Roman" w:hAnsi="Times New Roman" w:cs="Times New Roman" w:eastAsiaTheme="minorEastAsia"/>
          <w:b/>
          <w:sz w:val="36"/>
          <w:szCs w:val="36"/>
        </w:rPr>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pgNumType w:fmt="upperRoman" w:start="1"/>
          <w:cols w:space="425" w:num="1"/>
          <w:titlePg/>
          <w:docGrid w:type="lines" w:linePitch="312" w:charSpace="0"/>
        </w:sectPr>
      </w:pPr>
    </w:p>
    <w:p>
      <w:pPr>
        <w:widowControl/>
        <w:snapToGrid w:val="0"/>
        <w:spacing w:line="360" w:lineRule="auto"/>
        <w:jc w:val="center"/>
        <w:rPr>
          <w:rFonts w:hint="default" w:ascii="Times New Roman" w:hAnsi="Times New Roman" w:eastAsia="仿宋" w:cs="Times New Roman"/>
          <w:b/>
          <w:bCs/>
          <w:color w:val="000000"/>
          <w:kern w:val="0"/>
          <w:sz w:val="32"/>
          <w:szCs w:val="32"/>
        </w:rPr>
      </w:pPr>
      <w:r>
        <w:rPr>
          <w:rFonts w:hint="default" w:ascii="Times New Roman" w:hAnsi="Times New Roman" w:eastAsia="仿宋" w:cs="Times New Roman"/>
          <w:b/>
          <w:bCs/>
          <w:color w:val="000000"/>
          <w:kern w:val="0"/>
          <w:sz w:val="32"/>
          <w:szCs w:val="32"/>
        </w:rPr>
        <w:t>目录</w:t>
      </w:r>
    </w:p>
    <w:p>
      <w:pPr>
        <w:pStyle w:val="8"/>
        <w:numPr>
          <w:ilvl w:val="0"/>
          <w:numId w:val="1"/>
        </w:numPr>
        <w:tabs>
          <w:tab w:val="right" w:leader="dot" w:pos="8306"/>
        </w:tabs>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预案基本情况</w:t>
      </w:r>
      <w:r>
        <w:rPr>
          <w:rFonts w:hint="default" w:ascii="Times New Roman" w:hAnsi="Times New Roman" w:cs="Times New Roman"/>
        </w:rPr>
        <w:fldChar w:fldCharType="begin"/>
      </w:r>
      <w:r>
        <w:rPr>
          <w:rFonts w:hint="default" w:ascii="Times New Roman" w:hAnsi="Times New Roman" w:cs="Times New Roman"/>
        </w:rPr>
        <w:instrText xml:space="preserve"> HYPERLINK \l "_Toc32380" </w:instrText>
      </w:r>
      <w:r>
        <w:rPr>
          <w:rFonts w:hint="default" w:ascii="Times New Roman" w:hAnsi="Times New Roman" w:cs="Times New Roman"/>
        </w:rPr>
        <w:fldChar w:fldCharType="separate"/>
      </w:r>
      <w:r>
        <w:rPr>
          <w:rFonts w:hint="default" w:ascii="Times New Roman" w:hAnsi="Times New Roman" w:eastAsia="仿宋" w:cs="Times New Roman"/>
          <w:sz w:val="28"/>
          <w:szCs w:val="28"/>
        </w:rPr>
        <w:tab/>
      </w:r>
      <w:r>
        <w:rPr>
          <w:rFonts w:hint="default" w:ascii="Times New Roman" w:hAnsi="Times New Roman" w:eastAsia="仿宋" w:cs="Times New Roman"/>
          <w:sz w:val="28"/>
          <w:szCs w:val="28"/>
        </w:rPr>
        <w:fldChar w:fldCharType="end"/>
      </w:r>
      <w:r>
        <w:rPr>
          <w:rFonts w:hint="default" w:ascii="Times New Roman" w:hAnsi="Times New Roman" w:eastAsia="仿宋" w:cs="Times New Roman"/>
          <w:sz w:val="28"/>
          <w:szCs w:val="28"/>
        </w:rPr>
        <w:t>1</w:t>
      </w:r>
    </w:p>
    <w:p>
      <w:pPr>
        <w:pStyle w:val="8"/>
        <w:numPr>
          <w:ilvl w:val="0"/>
          <w:numId w:val="1"/>
        </w:numPr>
        <w:tabs>
          <w:tab w:val="right" w:leader="dot" w:pos="8306"/>
        </w:tabs>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预案编制程序</w:t>
      </w:r>
      <w:r>
        <w:rPr>
          <w:rFonts w:hint="default" w:ascii="Times New Roman" w:hAnsi="Times New Roman" w:cs="Times New Roman"/>
        </w:rPr>
        <w:fldChar w:fldCharType="begin"/>
      </w:r>
      <w:r>
        <w:rPr>
          <w:rFonts w:hint="default" w:ascii="Times New Roman" w:hAnsi="Times New Roman" w:cs="Times New Roman"/>
        </w:rPr>
        <w:instrText xml:space="preserve"> HYPERLINK \l "_Toc32380" </w:instrText>
      </w:r>
      <w:r>
        <w:rPr>
          <w:rFonts w:hint="default" w:ascii="Times New Roman" w:hAnsi="Times New Roman" w:cs="Times New Roman"/>
        </w:rPr>
        <w:fldChar w:fldCharType="separate"/>
      </w:r>
      <w:r>
        <w:rPr>
          <w:rFonts w:hint="default" w:ascii="Times New Roman" w:hAnsi="Times New Roman" w:eastAsia="仿宋" w:cs="Times New Roman"/>
          <w:sz w:val="28"/>
          <w:szCs w:val="28"/>
        </w:rPr>
        <w:tab/>
      </w:r>
      <w:r>
        <w:rPr>
          <w:rFonts w:hint="default" w:ascii="Times New Roman" w:hAnsi="Times New Roman" w:eastAsia="仿宋" w:cs="Times New Roman"/>
          <w:sz w:val="28"/>
          <w:szCs w:val="28"/>
        </w:rPr>
        <w:fldChar w:fldCharType="end"/>
      </w:r>
      <w:r>
        <w:rPr>
          <w:rFonts w:hint="eastAsia" w:eastAsia="仿宋" w:cs="Times New Roman"/>
          <w:sz w:val="28"/>
          <w:szCs w:val="28"/>
          <w:lang w:val="en-US" w:eastAsia="zh-CN"/>
        </w:rPr>
        <w:t>2</w:t>
      </w:r>
    </w:p>
    <w:p>
      <w:pPr>
        <w:pStyle w:val="8"/>
        <w:numPr>
          <w:ilvl w:val="0"/>
          <w:numId w:val="1"/>
        </w:numPr>
        <w:tabs>
          <w:tab w:val="right" w:leader="dot" w:pos="8306"/>
        </w:tabs>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应急预案编制原则及主要内容</w:t>
      </w:r>
      <w:r>
        <w:rPr>
          <w:rFonts w:hint="default" w:ascii="Times New Roman" w:hAnsi="Times New Roman" w:cs="Times New Roman"/>
        </w:rPr>
        <w:fldChar w:fldCharType="begin"/>
      </w:r>
      <w:r>
        <w:rPr>
          <w:rFonts w:hint="default" w:ascii="Times New Roman" w:hAnsi="Times New Roman" w:cs="Times New Roman"/>
        </w:rPr>
        <w:instrText xml:space="preserve"> HYPERLINK \l "_Toc32380" </w:instrText>
      </w:r>
      <w:r>
        <w:rPr>
          <w:rFonts w:hint="default" w:ascii="Times New Roman" w:hAnsi="Times New Roman" w:cs="Times New Roman"/>
        </w:rPr>
        <w:fldChar w:fldCharType="separate"/>
      </w:r>
      <w:r>
        <w:rPr>
          <w:rFonts w:hint="default" w:ascii="Times New Roman" w:hAnsi="Times New Roman" w:eastAsia="仿宋" w:cs="Times New Roman"/>
          <w:sz w:val="28"/>
          <w:szCs w:val="28"/>
        </w:rPr>
        <w:tab/>
      </w:r>
      <w:r>
        <w:rPr>
          <w:rFonts w:hint="default" w:ascii="Times New Roman" w:hAnsi="Times New Roman" w:eastAsia="仿宋" w:cs="Times New Roman"/>
          <w:sz w:val="28"/>
          <w:szCs w:val="28"/>
        </w:rPr>
        <w:fldChar w:fldCharType="end"/>
      </w:r>
      <w:r>
        <w:rPr>
          <w:rFonts w:hint="eastAsia" w:eastAsia="仿宋" w:cs="Times New Roman"/>
          <w:sz w:val="28"/>
          <w:szCs w:val="28"/>
          <w:lang w:val="en-US" w:eastAsia="zh-CN"/>
        </w:rPr>
        <w:t>3</w:t>
      </w:r>
    </w:p>
    <w:p>
      <w:pPr>
        <w:pStyle w:val="8"/>
        <w:numPr>
          <w:ilvl w:val="0"/>
          <w:numId w:val="1"/>
        </w:numPr>
        <w:tabs>
          <w:tab w:val="right" w:leader="dot" w:pos="8306"/>
        </w:tabs>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企业内部征求意见情况</w:t>
      </w:r>
      <w:r>
        <w:rPr>
          <w:rFonts w:hint="default" w:ascii="Times New Roman" w:hAnsi="Times New Roman" w:cs="Times New Roman"/>
        </w:rPr>
        <w:fldChar w:fldCharType="begin"/>
      </w:r>
      <w:r>
        <w:rPr>
          <w:rFonts w:hint="default" w:ascii="Times New Roman" w:hAnsi="Times New Roman" w:cs="Times New Roman"/>
        </w:rPr>
        <w:instrText xml:space="preserve"> HYPERLINK \l "_Toc32380" </w:instrText>
      </w:r>
      <w:r>
        <w:rPr>
          <w:rFonts w:hint="default" w:ascii="Times New Roman" w:hAnsi="Times New Roman" w:cs="Times New Roman"/>
        </w:rPr>
        <w:fldChar w:fldCharType="separate"/>
      </w:r>
      <w:r>
        <w:rPr>
          <w:rFonts w:hint="default" w:ascii="Times New Roman" w:hAnsi="Times New Roman" w:eastAsia="仿宋" w:cs="Times New Roman"/>
          <w:sz w:val="28"/>
          <w:szCs w:val="28"/>
        </w:rPr>
        <w:tab/>
      </w:r>
      <w:r>
        <w:rPr>
          <w:rFonts w:hint="default" w:ascii="Times New Roman" w:hAnsi="Times New Roman" w:eastAsia="仿宋" w:cs="Times New Roman"/>
          <w:sz w:val="28"/>
          <w:szCs w:val="28"/>
        </w:rPr>
        <w:fldChar w:fldCharType="end"/>
      </w:r>
      <w:r>
        <w:rPr>
          <w:rFonts w:hint="eastAsia" w:eastAsia="仿宋" w:cs="Times New Roman"/>
          <w:sz w:val="28"/>
          <w:szCs w:val="28"/>
          <w:lang w:val="en-US" w:eastAsia="zh-CN"/>
        </w:rPr>
        <w:t>3</w:t>
      </w:r>
    </w:p>
    <w:p>
      <w:pPr>
        <w:rPr>
          <w:rFonts w:hint="default" w:ascii="Times New Roman" w:hAnsi="Times New Roman" w:cs="Times New Roman"/>
        </w:rPr>
      </w:pPr>
    </w:p>
    <w:p>
      <w:pPr>
        <w:snapToGrid w:val="0"/>
        <w:spacing w:line="360" w:lineRule="auto"/>
        <w:ind w:firstLine="560" w:firstLineChars="200"/>
        <w:rPr>
          <w:rFonts w:hint="default" w:ascii="Times New Roman" w:hAnsi="Times New Roman" w:cs="Times New Roman" w:eastAsiaTheme="minorEastAsia"/>
          <w:bCs/>
          <w:color w:val="000000"/>
          <w:kern w:val="0"/>
          <w:sz w:val="28"/>
          <w:szCs w:val="28"/>
        </w:rPr>
        <w:sectPr>
          <w:footerReference r:id="rId8" w:type="default"/>
          <w:pgSz w:w="11906" w:h="16838"/>
          <w:pgMar w:top="1440" w:right="1800" w:bottom="1440" w:left="1800" w:header="708" w:footer="708" w:gutter="0"/>
          <w:pgNumType w:fmt="upperRoman" w:start="1"/>
          <w:cols w:space="708" w:num="1"/>
          <w:docGrid w:type="lines" w:linePitch="360" w:charSpace="0"/>
        </w:sectPr>
      </w:pPr>
    </w:p>
    <w:p>
      <w:pPr>
        <w:snapToGrid w:val="0"/>
        <w:spacing w:line="360" w:lineRule="auto"/>
        <w:ind w:firstLine="560" w:firstLineChars="200"/>
        <w:rPr>
          <w:rFonts w:hint="default" w:ascii="Times New Roman" w:hAnsi="Times New Roman" w:eastAsia="仿宋" w:cs="Times New Roman"/>
          <w:sz w:val="28"/>
          <w:szCs w:val="28"/>
        </w:rPr>
      </w:pPr>
      <w:r>
        <w:rPr>
          <w:rFonts w:hint="eastAsia" w:ascii="仿宋" w:hAnsi="仿宋" w:eastAsia="仿宋" w:cs="仿宋"/>
          <w:color w:val="auto"/>
          <w:sz w:val="28"/>
          <w:szCs w:val="28"/>
          <w:lang w:eastAsia="zh-CN"/>
        </w:rPr>
        <w:t>根据《中华人民共和国环境保护法》、《中华人民共和国突发事件应对法》、《国家突发环境事件应急预案》及《陕西省突发环境事件应急预案管理暂行办法》，</w:t>
      </w:r>
      <w:r>
        <w:rPr>
          <w:rFonts w:hint="default" w:ascii="仿宋" w:hAnsi="仿宋" w:eastAsia="仿宋" w:cs="仿宋"/>
          <w:color w:val="auto"/>
          <w:sz w:val="28"/>
          <w:szCs w:val="28"/>
          <w:lang w:eastAsia="zh-CN"/>
        </w:rPr>
        <w:t>为了规范和加强企业突发环境事件应急预案的管理，进一步建立健全</w:t>
      </w:r>
      <w:r>
        <w:rPr>
          <w:rFonts w:hint="default" w:ascii="Times New Roman" w:hAnsi="Times New Roman" w:eastAsia="仿宋" w:cs="Times New Roman"/>
          <w:bCs/>
          <w:color w:val="000000"/>
          <w:kern w:val="0"/>
          <w:sz w:val="28"/>
          <w:szCs w:val="28"/>
        </w:rPr>
        <w:t>和完善应急预案体系。现将该</w:t>
      </w:r>
      <w:r>
        <w:rPr>
          <w:rFonts w:hint="default" w:ascii="Times New Roman" w:hAnsi="Times New Roman" w:eastAsia="仿宋" w:cs="Times New Roman"/>
          <w:sz w:val="28"/>
          <w:szCs w:val="28"/>
        </w:rPr>
        <w:t>《预案》的基本情况、编制原则及主要内容、内部评审情况等涉及应急预案编制的相关情况做一说明：</w:t>
      </w:r>
    </w:p>
    <w:p>
      <w:pPr>
        <w:snapToGrid w:val="0"/>
        <w:spacing w:beforeLines="100" w:afterLines="50" w:line="360" w:lineRule="auto"/>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一、预案基本情况</w:t>
      </w:r>
    </w:p>
    <w:p>
      <w:pPr>
        <w:snapToGrid w:val="0"/>
        <w:spacing w:line="360" w:lineRule="auto"/>
        <w:ind w:firstLine="560" w:firstLineChars="200"/>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我国目前正处于建筑鼎盛时期，每年建成的房屋面积高达20亿平方米，超过所有发达国家建成面积分总和，而97%以上是高能耗建筑。建筑耗能占社会总耗能的40%，居各类耗能之首。国家“十二五”规划纲要中，为促进建筑业的健康发展，明确提出了“以节约能源资源，保护生态环境和提高产品质量档次为重点，促进建材工业结构调整和产业升级”与“大力发展节能环保的新型建筑材料、保温材料以及绿色装饰装修材料”。给建筑业节约能源、高效利用、保护环境、减少污染，建材向多功能方向发展指明了方向。</w:t>
      </w:r>
    </w:p>
    <w:p>
      <w:pPr>
        <w:snapToGrid w:val="0"/>
        <w:spacing w:line="360" w:lineRule="auto"/>
        <w:ind w:firstLine="560" w:firstLineChars="200"/>
        <w:rPr>
          <w:rFonts w:hint="default" w:ascii="仿宋" w:hAnsi="仿宋" w:eastAsia="仿宋" w:cs="仿宋"/>
          <w:color w:val="auto"/>
          <w:sz w:val="28"/>
          <w:szCs w:val="28"/>
          <w:lang w:val="en-US" w:eastAsia="zh-CN"/>
        </w:rPr>
      </w:pPr>
      <w:r>
        <w:rPr>
          <w:rFonts w:hint="default" w:ascii="仿宋" w:hAnsi="仿宋" w:eastAsia="仿宋" w:cs="仿宋"/>
          <w:color w:val="auto"/>
          <w:sz w:val="28"/>
          <w:szCs w:val="28"/>
          <w:lang w:val="en-US" w:eastAsia="zh-CN"/>
        </w:rPr>
        <w:t>陕西东泽高科实业有限责任公司在市场前景与政府方向的引导基础下，投资35000万元，在</w:t>
      </w:r>
      <w:r>
        <w:rPr>
          <w:rFonts w:hint="eastAsia" w:ascii="Times New Roman" w:hAnsi="Times New Roman" w:eastAsia="仿宋" w:cs="Times New Roman"/>
          <w:color w:val="auto"/>
          <w:kern w:val="2"/>
          <w:sz w:val="28"/>
          <w:szCs w:val="28"/>
          <w:lang w:val="en-US" w:eastAsia="zh-CN"/>
        </w:rPr>
        <w:t>西咸新区秦汉新城咸北大道1号</w:t>
      </w:r>
      <w:r>
        <w:rPr>
          <w:rFonts w:hint="default" w:ascii="仿宋" w:hAnsi="仿宋" w:eastAsia="仿宋" w:cs="仿宋"/>
          <w:color w:val="auto"/>
          <w:sz w:val="28"/>
          <w:szCs w:val="28"/>
          <w:lang w:val="en-US" w:eastAsia="zh-CN"/>
        </w:rPr>
        <w:t>建设本项目，地理位置E108°37’，N34°18’。</w:t>
      </w:r>
    </w:p>
    <w:p>
      <w:pPr>
        <w:snapToGrid w:val="0"/>
        <w:spacing w:line="360" w:lineRule="auto"/>
        <w:ind w:firstLine="560" w:firstLineChars="200"/>
        <w:rPr>
          <w:rFonts w:hint="eastAsia" w:ascii="仿宋" w:hAnsi="仿宋" w:eastAsia="仿宋" w:cs="仿宋"/>
          <w:color w:val="auto"/>
          <w:sz w:val="28"/>
          <w:szCs w:val="28"/>
          <w:lang w:eastAsia="zh-CN"/>
        </w:rPr>
      </w:pPr>
      <w:r>
        <w:rPr>
          <w:rFonts w:hint="default" w:ascii="仿宋" w:hAnsi="仿宋" w:eastAsia="仿宋" w:cs="仿宋"/>
          <w:color w:val="auto"/>
          <w:sz w:val="28"/>
          <w:szCs w:val="28"/>
          <w:lang w:val="en-US" w:eastAsia="zh-CN"/>
        </w:rPr>
        <w:t>本项目共有六种产品。硅钙板生产线1条，年产100万张；PCCP管生产线2条，年产80公里；地铁管片生产线1条，年产2万环；高预应力管桩生产线1条，年产50万米；PVC钢筋混凝土复合排水管生产线3条，年产300公里；PC构件生产线1条，年产5万立方米。</w:t>
      </w:r>
    </w:p>
    <w:p>
      <w:pPr>
        <w:snapToGrid w:val="0"/>
        <w:spacing w:line="360" w:lineRule="auto"/>
        <w:ind w:firstLine="560" w:firstLineChars="200"/>
        <w:rPr>
          <w:rFonts w:hint="default" w:ascii="Times New Roman" w:hAnsi="Times New Roman" w:eastAsia="仿宋" w:cs="Times New Roman"/>
          <w:bCs/>
          <w:color w:val="000000"/>
          <w:kern w:val="0"/>
          <w:sz w:val="28"/>
          <w:szCs w:val="28"/>
        </w:rPr>
      </w:pPr>
      <w:r>
        <w:rPr>
          <w:rFonts w:hint="default" w:ascii="仿宋" w:hAnsi="仿宋" w:eastAsia="仿宋" w:cs="仿宋"/>
          <w:color w:val="auto"/>
          <w:sz w:val="28"/>
          <w:szCs w:val="28"/>
          <w:lang w:val="en-US" w:eastAsia="zh-CN"/>
        </w:rPr>
        <w:t>为切实加强应急救援管理工作，使应急预案体系更加科学、规范，应急救援抢险工作更具有实用性、可操作性，进一步增强预防和控制危险源的能力，提高应急处置能力，特组织技术力量编制《陕西</w:t>
      </w:r>
      <w:r>
        <w:rPr>
          <w:rFonts w:hint="eastAsia" w:ascii="仿宋" w:hAnsi="仿宋" w:eastAsia="仿宋" w:cs="仿宋"/>
          <w:color w:val="auto"/>
          <w:sz w:val="28"/>
          <w:szCs w:val="28"/>
          <w:lang w:val="en-US" w:eastAsia="zh-CN"/>
        </w:rPr>
        <w:t>东泽高科实业</w:t>
      </w:r>
      <w:r>
        <w:rPr>
          <w:rFonts w:hint="default" w:ascii="仿宋" w:hAnsi="仿宋" w:eastAsia="仿宋" w:cs="仿宋"/>
          <w:color w:val="auto"/>
          <w:sz w:val="28"/>
          <w:szCs w:val="28"/>
          <w:lang w:val="en-US" w:eastAsia="zh-CN"/>
        </w:rPr>
        <w:t>有限公司突发环境事件应急预案》，进一步明确了公司事故应急救援组织指挥机构、职责</w:t>
      </w:r>
      <w:r>
        <w:rPr>
          <w:rFonts w:hint="default" w:ascii="Times New Roman" w:hAnsi="Times New Roman" w:eastAsia="仿宋" w:cs="Times New Roman"/>
          <w:sz w:val="28"/>
          <w:szCs w:val="28"/>
          <w:lang w:val="en-US" w:eastAsia="zh-CN" w:bidi="en-US"/>
        </w:rPr>
        <w:t>，对危险源进行了辨识、分级、预防和预警和处置。</w:t>
      </w:r>
    </w:p>
    <w:p>
      <w:pPr>
        <w:snapToGrid w:val="0"/>
        <w:spacing w:beforeLines="100" w:afterLines="50" w:line="360" w:lineRule="auto"/>
        <w:ind w:firstLine="562" w:firstLineChars="200"/>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二、预案编制程序</w:t>
      </w:r>
    </w:p>
    <w:p>
      <w:pPr>
        <w:snapToGrid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公司成立了突发环境事件应急预案编制领导小组，并</w:t>
      </w:r>
      <w:r>
        <w:rPr>
          <w:rFonts w:hint="eastAsia" w:eastAsia="仿宋" w:cs="Times New Roman"/>
          <w:sz w:val="28"/>
          <w:szCs w:val="28"/>
          <w:lang w:eastAsia="zh-CN"/>
        </w:rPr>
        <w:t>组织人员</w:t>
      </w:r>
      <w:r>
        <w:rPr>
          <w:rFonts w:hint="default" w:ascii="Times New Roman" w:hAnsi="Times New Roman" w:eastAsia="仿宋" w:cs="Times New Roman"/>
          <w:sz w:val="28"/>
          <w:szCs w:val="28"/>
        </w:rPr>
        <w:t>进行预案编制。</w:t>
      </w:r>
    </w:p>
    <w:p>
      <w:pPr>
        <w:snapToGrid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预案编制按照调查、评估、判定、编制、审核、演练、公布的程序进行。</w:t>
      </w:r>
    </w:p>
    <w:p>
      <w:pPr>
        <w:snapToGrid w:val="0"/>
        <w:spacing w:line="360" w:lineRule="auto"/>
        <w:ind w:firstLine="420" w:firstLineChars="200"/>
        <w:rPr>
          <w:rFonts w:hint="default" w:ascii="Times New Roman" w:hAnsi="Times New Roman" w:eastAsia="仿宋" w:cs="Times New Roman"/>
          <w:sz w:val="28"/>
          <w:szCs w:val="28"/>
        </w:rPr>
      </w:pPr>
      <w:r>
        <w:rPr>
          <w:rFonts w:hint="default" w:ascii="Times New Roman" w:hAnsi="Times New Roman" w:eastAsia="仿宋" w:cs="Times New Roman"/>
        </w:rPr>
        <w:drawing>
          <wp:anchor distT="0" distB="0" distL="114300" distR="114300" simplePos="0" relativeHeight="251658240" behindDoc="0" locked="0" layoutInCell="1" allowOverlap="1">
            <wp:simplePos x="0" y="0"/>
            <wp:positionH relativeFrom="column">
              <wp:posOffset>147955</wp:posOffset>
            </wp:positionH>
            <wp:positionV relativeFrom="page">
              <wp:posOffset>5068570</wp:posOffset>
            </wp:positionV>
            <wp:extent cx="4923790" cy="4707890"/>
            <wp:effectExtent l="0" t="0" r="10160" b="0"/>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1"/>
                    <a:stretch>
                      <a:fillRect/>
                    </a:stretch>
                  </pic:blipFill>
                  <pic:spPr>
                    <a:xfrm>
                      <a:off x="0" y="0"/>
                      <a:ext cx="4923790" cy="4707890"/>
                    </a:xfrm>
                    <a:prstGeom prst="rect">
                      <a:avLst/>
                    </a:prstGeom>
                    <a:noFill/>
                    <a:ln w="9525">
                      <a:noFill/>
                    </a:ln>
                  </pic:spPr>
                </pic:pic>
              </a:graphicData>
            </a:graphic>
          </wp:anchor>
        </w:drawing>
      </w:r>
      <w:r>
        <w:rPr>
          <w:rFonts w:hint="default" w:ascii="Times New Roman" w:hAnsi="Times New Roman" w:eastAsia="仿宋" w:cs="Times New Roman"/>
          <w:sz w:val="28"/>
          <w:szCs w:val="28"/>
        </w:rPr>
        <w:t>具体编制流程如下：</w:t>
      </w:r>
    </w:p>
    <w:p>
      <w:pPr>
        <w:snapToGrid w:val="0"/>
        <w:spacing w:line="360" w:lineRule="auto"/>
        <w:ind w:firstLine="557" w:firstLineChars="198"/>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t>三、应急预案编制原则及主要内容</w:t>
      </w:r>
    </w:p>
    <w:p>
      <w:pPr>
        <w:snapToGrid w:val="0"/>
        <w:spacing w:line="360" w:lineRule="auto"/>
        <w:ind w:firstLine="557" w:firstLineChars="198"/>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t>1、编制原则</w:t>
      </w:r>
    </w:p>
    <w:p>
      <w:pPr>
        <w:snapToGrid w:val="0"/>
        <w:spacing w:line="360" w:lineRule="auto"/>
        <w:ind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以人为本、预防为主、科学应对、高效处置。</w:t>
      </w:r>
    </w:p>
    <w:p>
      <w:pPr>
        <w:adjustRightInd w:val="0"/>
        <w:snapToGrid w:val="0"/>
        <w:spacing w:line="360" w:lineRule="auto"/>
        <w:ind w:left="720"/>
        <w:jc w:val="left"/>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t>2、主要内容</w:t>
      </w:r>
    </w:p>
    <w:p>
      <w:pPr>
        <w:adjustRightInd w:val="0"/>
        <w:snapToGrid w:val="0"/>
        <w:spacing w:line="360" w:lineRule="auto"/>
        <w:ind w:firstLine="560"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《应急救援预案》共分为10章节，《预案》内容</w:t>
      </w:r>
      <w:r>
        <w:rPr>
          <w:rFonts w:hint="eastAsia" w:eastAsia="仿宋" w:cs="Times New Roman"/>
          <w:sz w:val="28"/>
          <w:szCs w:val="28"/>
          <w:lang w:eastAsia="zh-CN"/>
        </w:rPr>
        <w:t>包括</w:t>
      </w:r>
      <w:r>
        <w:rPr>
          <w:rFonts w:hint="default" w:ascii="Times New Roman" w:hAnsi="Times New Roman" w:eastAsia="仿宋" w:cs="Times New Roman"/>
          <w:sz w:val="28"/>
          <w:szCs w:val="28"/>
        </w:rPr>
        <w:t>总则、企业概况、应急组织体系、环境风险分析、预防和预警、应急处置、应急保障、监督与管理和附则。</w:t>
      </w:r>
    </w:p>
    <w:p>
      <w:pPr>
        <w:snapToGrid w:val="0"/>
        <w:spacing w:line="360" w:lineRule="auto"/>
        <w:ind w:firstLine="557" w:firstLineChars="198"/>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rPr>
        <w:t>四、企业内部征求意见情况</w:t>
      </w:r>
    </w:p>
    <w:p>
      <w:pPr>
        <w:adjustRightInd w:val="0"/>
        <w:snapToGrid w:val="0"/>
        <w:spacing w:line="360" w:lineRule="auto"/>
        <w:ind w:firstLine="560"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highlight w:val="none"/>
        </w:rPr>
        <w:t>2018年</w:t>
      </w:r>
      <w:r>
        <w:rPr>
          <w:rFonts w:hint="eastAsia" w:eastAsia="仿宋" w:cs="Times New Roman"/>
          <w:sz w:val="28"/>
          <w:szCs w:val="28"/>
          <w:highlight w:val="none"/>
          <w:lang w:val="en-US" w:eastAsia="zh-CN"/>
        </w:rPr>
        <w:t>7</w:t>
      </w:r>
      <w:r>
        <w:rPr>
          <w:rFonts w:hint="default" w:ascii="Times New Roman" w:hAnsi="Times New Roman" w:eastAsia="仿宋" w:cs="Times New Roman"/>
          <w:sz w:val="28"/>
          <w:szCs w:val="28"/>
          <w:highlight w:val="none"/>
        </w:rPr>
        <w:t>月</w:t>
      </w:r>
      <w:r>
        <w:rPr>
          <w:rFonts w:hint="eastAsia" w:eastAsia="仿宋" w:cs="Times New Roman"/>
          <w:sz w:val="28"/>
          <w:szCs w:val="28"/>
          <w:highlight w:val="none"/>
          <w:lang w:val="en-US" w:eastAsia="zh-CN"/>
        </w:rPr>
        <w:t>8</w:t>
      </w:r>
      <w:r>
        <w:rPr>
          <w:rFonts w:hint="default" w:ascii="Times New Roman" w:hAnsi="Times New Roman" w:eastAsia="仿宋" w:cs="Times New Roman"/>
          <w:sz w:val="28"/>
          <w:szCs w:val="28"/>
          <w:highlight w:val="none"/>
        </w:rPr>
        <w:t>日，</w:t>
      </w:r>
      <w:r>
        <w:rPr>
          <w:rFonts w:hint="default" w:ascii="Times New Roman" w:hAnsi="Times New Roman" w:eastAsia="仿宋" w:cs="Times New Roman"/>
          <w:sz w:val="28"/>
          <w:szCs w:val="28"/>
        </w:rPr>
        <w:t>由副总经理</w:t>
      </w:r>
      <w:r>
        <w:rPr>
          <w:rFonts w:hint="eastAsia" w:eastAsia="仿宋" w:cs="Times New Roman"/>
          <w:sz w:val="28"/>
          <w:szCs w:val="28"/>
          <w:lang w:eastAsia="zh-CN"/>
        </w:rPr>
        <w:t>张美丽</w:t>
      </w:r>
      <w:r>
        <w:rPr>
          <w:rFonts w:hint="default" w:ascii="Times New Roman" w:hAnsi="Times New Roman" w:eastAsia="仿宋" w:cs="Times New Roman"/>
          <w:sz w:val="28"/>
          <w:szCs w:val="28"/>
        </w:rPr>
        <w:t>组织各职能部门人员，对《陕西</w:t>
      </w:r>
      <w:r>
        <w:rPr>
          <w:rFonts w:hint="eastAsia" w:eastAsia="仿宋" w:cs="Times New Roman"/>
          <w:sz w:val="28"/>
          <w:szCs w:val="28"/>
          <w:lang w:eastAsia="zh-CN"/>
        </w:rPr>
        <w:t>东泽高科实业</w:t>
      </w:r>
      <w:r>
        <w:rPr>
          <w:rFonts w:hint="default" w:ascii="Times New Roman" w:hAnsi="Times New Roman" w:eastAsia="仿宋" w:cs="Times New Roman"/>
          <w:sz w:val="28"/>
          <w:szCs w:val="28"/>
        </w:rPr>
        <w:t>有限公司突发环境事件应急预案》进行了企业内部评审和征求意见，经</w:t>
      </w:r>
      <w:bookmarkStart w:id="0" w:name="_GoBack"/>
      <w:bookmarkEnd w:id="0"/>
      <w:r>
        <w:rPr>
          <w:rFonts w:hint="default" w:ascii="Times New Roman" w:hAnsi="Times New Roman" w:eastAsia="仿宋" w:cs="Times New Roman"/>
          <w:sz w:val="28"/>
          <w:szCs w:val="28"/>
        </w:rPr>
        <w:t>内审组全体人员认真的讨论，大家一致认为新的《预案》符合《陕西省突发环境事件应急预案编制要点》的要求，现特邀应急专家对我公司《预案》编制工作进行进一步评审和指导。</w:t>
      </w:r>
    </w:p>
    <w:p>
      <w:pPr>
        <w:spacing w:line="220" w:lineRule="atLeast"/>
        <w:rPr>
          <w:rFonts w:hint="default" w:ascii="Times New Roman" w:hAnsi="Times New Roman" w:eastAsia="仿宋" w:cs="Times New Roman"/>
        </w:rPr>
      </w:pPr>
    </w:p>
    <w:p>
      <w:pPr>
        <w:spacing w:line="220" w:lineRule="atLeast"/>
        <w:rPr>
          <w:rFonts w:hint="default" w:ascii="Times New Roman" w:hAnsi="Times New Roman" w:eastAsia="仿宋" w:cs="Times New Roman"/>
        </w:rPr>
      </w:pPr>
    </w:p>
    <w:p>
      <w:pPr>
        <w:spacing w:line="220" w:lineRule="atLeast"/>
        <w:rPr>
          <w:rFonts w:hint="default" w:ascii="Times New Roman" w:hAnsi="Times New Roman" w:eastAsia="仿宋" w:cs="Times New Roman"/>
        </w:rPr>
      </w:pPr>
    </w:p>
    <w:p>
      <w:pPr>
        <w:spacing w:line="220" w:lineRule="atLeast"/>
        <w:rPr>
          <w:rFonts w:hint="default" w:ascii="Times New Roman" w:hAnsi="Times New Roman" w:eastAsia="仿宋" w:cs="Times New Roman"/>
        </w:rPr>
      </w:pPr>
    </w:p>
    <w:p>
      <w:pPr>
        <w:snapToGrid w:val="0"/>
        <w:spacing w:line="408" w:lineRule="auto"/>
        <w:ind w:firstLine="4345" w:firstLineChars="1552"/>
        <w:jc w:val="right"/>
        <w:rPr>
          <w:rFonts w:hint="default" w:ascii="Times New Roman" w:hAnsi="Times New Roman" w:eastAsia="仿宋" w:cs="Times New Roman"/>
          <w:sz w:val="28"/>
          <w:szCs w:val="28"/>
        </w:rPr>
      </w:pPr>
    </w:p>
    <w:p>
      <w:pPr>
        <w:adjustRightInd w:val="0"/>
        <w:snapToGrid w:val="0"/>
        <w:spacing w:line="360" w:lineRule="auto"/>
        <w:jc w:val="left"/>
        <w:rPr>
          <w:rFonts w:hint="default" w:ascii="Times New Roman" w:hAnsi="Times New Roman" w:eastAsia="仿宋" w:cs="Times New Roman"/>
          <w:sz w:val="28"/>
          <w:szCs w:val="28"/>
        </w:rPr>
      </w:pPr>
      <w:r>
        <w:rPr>
          <w:rFonts w:hint="eastAsia" w:eastAsia="仿宋" w:cs="Times New Roman"/>
          <w:sz w:val="28"/>
          <w:szCs w:val="28"/>
          <w:lang w:val="en-US" w:eastAsia="zh-CN"/>
        </w:rPr>
        <w:t xml:space="preserve">                                                  陕西东泽高科实业有限公司</w:t>
      </w:r>
    </w:p>
    <w:p>
      <w:pPr>
        <w:adjustRightInd w:val="0"/>
        <w:snapToGrid w:val="0"/>
        <w:spacing w:line="360" w:lineRule="auto"/>
        <w:ind w:firstLine="3500" w:firstLineChars="125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突发环境事件应急预案编制小组</w:t>
      </w:r>
    </w:p>
    <w:p>
      <w:pPr>
        <w:adjustRightInd w:val="0"/>
        <w:snapToGrid w:val="0"/>
        <w:spacing w:line="360" w:lineRule="auto"/>
        <w:ind w:firstLine="560" w:firstLineChars="200"/>
        <w:jc w:val="left"/>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rPr>
        <w:t xml:space="preserve">                       </w:t>
      </w:r>
      <w:r>
        <w:rPr>
          <w:rFonts w:hint="eastAsia" w:eastAsia="仿宋" w:cs="Times New Roman"/>
          <w:sz w:val="28"/>
          <w:szCs w:val="28"/>
          <w:lang w:val="en-US" w:eastAsia="zh-CN"/>
        </w:rPr>
        <w:t xml:space="preserve">                              </w:t>
      </w:r>
      <w:r>
        <w:rPr>
          <w:rFonts w:hint="default" w:ascii="Times New Roman" w:hAnsi="Times New Roman" w:eastAsia="仿宋" w:cs="Times New Roman"/>
          <w:sz w:val="28"/>
          <w:szCs w:val="28"/>
        </w:rPr>
        <w:t xml:space="preserve">   </w:t>
      </w:r>
      <w:r>
        <w:rPr>
          <w:rFonts w:hint="eastAsia" w:eastAsia="仿宋" w:cs="Times New Roman"/>
          <w:sz w:val="28"/>
          <w:szCs w:val="28"/>
          <w:lang w:val="en-US" w:eastAsia="zh-CN"/>
        </w:rPr>
        <w:t xml:space="preserve">     </w:t>
      </w:r>
      <w:r>
        <w:rPr>
          <w:rFonts w:hint="eastAsia" w:eastAsia="仿宋" w:cs="Times New Roman"/>
          <w:sz w:val="28"/>
          <w:szCs w:val="28"/>
          <w:highlight w:val="none"/>
          <w:lang w:val="en-US" w:eastAsia="zh-CN"/>
        </w:rPr>
        <w:t xml:space="preserve">  </w:t>
      </w:r>
      <w:r>
        <w:rPr>
          <w:rFonts w:hint="default" w:ascii="Times New Roman" w:hAnsi="Times New Roman" w:eastAsia="仿宋" w:cs="Times New Roman"/>
          <w:sz w:val="28"/>
          <w:szCs w:val="28"/>
          <w:highlight w:val="none"/>
        </w:rPr>
        <w:t xml:space="preserve">      2018年</w:t>
      </w:r>
      <w:r>
        <w:rPr>
          <w:rFonts w:hint="eastAsia" w:eastAsia="仿宋" w:cs="Times New Roman"/>
          <w:sz w:val="28"/>
          <w:szCs w:val="28"/>
          <w:highlight w:val="none"/>
          <w:lang w:val="en-US" w:eastAsia="zh-CN"/>
        </w:rPr>
        <w:t>7</w:t>
      </w:r>
      <w:r>
        <w:rPr>
          <w:rFonts w:hint="default" w:ascii="Times New Roman" w:hAnsi="Times New Roman" w:eastAsia="仿宋" w:cs="Times New Roman"/>
          <w:sz w:val="28"/>
          <w:szCs w:val="28"/>
          <w:highlight w:val="none"/>
        </w:rPr>
        <w:t>月8日</w:t>
      </w:r>
    </w:p>
    <w:p>
      <w:pPr>
        <w:spacing w:line="220" w:lineRule="atLeast"/>
        <w:rPr>
          <w:rFonts w:hint="default" w:ascii="Times New Roman" w:hAnsi="Times New Roman" w:eastAsia="仿宋" w:cs="Times New Roman"/>
          <w:highlight w:val="yellow"/>
        </w:rPr>
      </w:pPr>
    </w:p>
    <w:sectPr>
      <w:footerReference r:id="rId9" w:type="default"/>
      <w:pgSz w:w="11906" w:h="16838"/>
      <w:pgMar w:top="1440" w:right="1800" w:bottom="1440" w:left="1800" w:header="708" w:footer="708" w:gutter="0"/>
      <w:pgNumType w:start="1"/>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6"/>
                  <w:jc w:val="center"/>
                </w:pPr>
                <w:r>
                  <w:fldChar w:fldCharType="begin"/>
                </w:r>
                <w:r>
                  <w:instrText xml:space="preserve">PAGE   \* MERGEFORMAT</w:instrText>
                </w:r>
                <w:r>
                  <w:fldChar w:fldCharType="separate"/>
                </w:r>
                <w:r>
                  <w:rPr>
                    <w:lang w:val="zh-CN"/>
                  </w:rPr>
                  <w:t>I</w:t>
                </w:r>
                <w:r>
                  <w:rPr>
                    <w:lang w:val="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_x0000_s4098" o:spid="_x0000_s409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6"/>
                  <w:jc w:val="center"/>
                </w:pPr>
                <w:r>
                  <w:fldChar w:fldCharType="begin"/>
                </w:r>
                <w:r>
                  <w:instrText xml:space="preserve">PAGE   \* MERGEFORMAT</w:instrText>
                </w:r>
                <w:r>
                  <w:fldChar w:fldCharType="separate"/>
                </w:r>
                <w:r>
                  <w:rPr>
                    <w:lang w:val="zh-CN"/>
                  </w:rPr>
                  <w:t>1</w:t>
                </w:r>
                <w:r>
                  <w:rPr>
                    <w:lang w:val="zh-CN"/>
                  </w:rPr>
                  <w:fldChar w:fldCharType="end"/>
                </w:r>
              </w:p>
            </w:txbxContent>
          </v:textbox>
        </v:shape>
      </w:pic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8306"/>
      </w:tabs>
    </w:pPr>
    <w:r>
      <w:rPr>
        <w:rFonts w:hint="eastAsia"/>
      </w:rPr>
      <w:t>应急预案编制情况说明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A1928D"/>
    <w:multiLevelType w:val="singleLevel"/>
    <w:tmpl w:val="56A1928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val="1"/>
  <w:bordersDoNotSurroundFooter w:val="1"/>
  <w:documentProtection w:enforcement="0"/>
  <w:defaultTabStop w:val="720"/>
  <w:drawingGridHorizontalSpacing w:val="105"/>
  <w:drawingGridVerticalSpacing w:val="156"/>
  <w:displayHorizontalDrawingGridEvery w:val="2"/>
  <w:displayVerticalDrawingGridEvery w:val="2"/>
  <w:characterSpacingControl w:val="doNotCompress"/>
  <w:hdrShapeDefaults>
    <o:shapelayout v:ext="edit">
      <o:idmap v:ext="edit" data="3,4"/>
    </o:shapelayout>
  </w:hdrShapeDefaults>
  <w:compat>
    <w:useFELayout/>
    <w:compatSetting w:name="compatibilityMode" w:uri="http://schemas.microsoft.com/office/word" w:val="12"/>
  </w:compat>
  <w:rsids>
    <w:rsidRoot w:val="00D31D50"/>
    <w:rsid w:val="00005057"/>
    <w:rsid w:val="0010786D"/>
    <w:rsid w:val="00113BDD"/>
    <w:rsid w:val="00183EA0"/>
    <w:rsid w:val="001857AE"/>
    <w:rsid w:val="00191FFF"/>
    <w:rsid w:val="00193F76"/>
    <w:rsid w:val="001D3734"/>
    <w:rsid w:val="002B65AE"/>
    <w:rsid w:val="00323B43"/>
    <w:rsid w:val="00325A46"/>
    <w:rsid w:val="00335B92"/>
    <w:rsid w:val="00382D8E"/>
    <w:rsid w:val="003D37D8"/>
    <w:rsid w:val="003E4852"/>
    <w:rsid w:val="00420CFC"/>
    <w:rsid w:val="0042518D"/>
    <w:rsid w:val="00426133"/>
    <w:rsid w:val="004358AB"/>
    <w:rsid w:val="00453066"/>
    <w:rsid w:val="005C6226"/>
    <w:rsid w:val="006B4626"/>
    <w:rsid w:val="007865CE"/>
    <w:rsid w:val="007A44CA"/>
    <w:rsid w:val="007B15D2"/>
    <w:rsid w:val="00801F7E"/>
    <w:rsid w:val="008919BA"/>
    <w:rsid w:val="008A1923"/>
    <w:rsid w:val="008B2FFC"/>
    <w:rsid w:val="008B7726"/>
    <w:rsid w:val="008D5B14"/>
    <w:rsid w:val="008D5D39"/>
    <w:rsid w:val="009615A5"/>
    <w:rsid w:val="00982FE1"/>
    <w:rsid w:val="009A2C2D"/>
    <w:rsid w:val="009C33A7"/>
    <w:rsid w:val="00A26EEE"/>
    <w:rsid w:val="00A33195"/>
    <w:rsid w:val="00A8399E"/>
    <w:rsid w:val="00A907C6"/>
    <w:rsid w:val="00AD0C90"/>
    <w:rsid w:val="00AD12D0"/>
    <w:rsid w:val="00AF4EEC"/>
    <w:rsid w:val="00B879FC"/>
    <w:rsid w:val="00B92A73"/>
    <w:rsid w:val="00BA1276"/>
    <w:rsid w:val="00CB5350"/>
    <w:rsid w:val="00CC288F"/>
    <w:rsid w:val="00CE4055"/>
    <w:rsid w:val="00CF1413"/>
    <w:rsid w:val="00D31D50"/>
    <w:rsid w:val="00DF6D82"/>
    <w:rsid w:val="00E07C5F"/>
    <w:rsid w:val="00E17D05"/>
    <w:rsid w:val="00E46630"/>
    <w:rsid w:val="00EC1397"/>
    <w:rsid w:val="00EC17C6"/>
    <w:rsid w:val="00F13E8E"/>
    <w:rsid w:val="00FC6083"/>
    <w:rsid w:val="01DF1024"/>
    <w:rsid w:val="0FAC36EA"/>
    <w:rsid w:val="1A5369C4"/>
    <w:rsid w:val="1D2D3B16"/>
    <w:rsid w:val="1DCD4C92"/>
    <w:rsid w:val="1F3472E4"/>
    <w:rsid w:val="21B821F2"/>
    <w:rsid w:val="2E153297"/>
    <w:rsid w:val="3711655F"/>
    <w:rsid w:val="37C74A36"/>
    <w:rsid w:val="57552621"/>
    <w:rsid w:val="5CFA762F"/>
    <w:rsid w:val="66406C9B"/>
    <w:rsid w:val="66F54B0C"/>
    <w:rsid w:val="68DA1F57"/>
    <w:rsid w:val="79263F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120" w:line="360" w:lineRule="auto"/>
      <w:outlineLvl w:val="1"/>
    </w:pPr>
    <w:rPr>
      <w:rFonts w:ascii="Cambria" w:hAnsi="Cambria" w:eastAsia="黑体"/>
      <w:b/>
      <w:sz w:val="30"/>
      <w:szCs w:val="32"/>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7"/>
    <w:unhideWhenUsed/>
    <w:qFormat/>
    <w:uiPriority w:val="99"/>
    <w:rPr>
      <w:b/>
      <w:bCs/>
    </w:rPr>
  </w:style>
  <w:style w:type="paragraph" w:styleId="4">
    <w:name w:val="annotation text"/>
    <w:basedOn w:val="1"/>
    <w:link w:val="16"/>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3"/>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7">
    <w:name w:val="header"/>
    <w:basedOn w:val="1"/>
    <w:link w:val="12"/>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paragraph" w:styleId="8">
    <w:name w:val="toc 1"/>
    <w:basedOn w:val="1"/>
    <w:next w:val="1"/>
    <w:unhideWhenUsed/>
    <w:qFormat/>
    <w:uiPriority w:val="39"/>
  </w:style>
  <w:style w:type="character" w:styleId="10">
    <w:name w:val="annotation reference"/>
    <w:basedOn w:val="9"/>
    <w:unhideWhenUsed/>
    <w:qFormat/>
    <w:uiPriority w:val="99"/>
    <w:rPr>
      <w:sz w:val="21"/>
      <w:szCs w:val="21"/>
    </w:rPr>
  </w:style>
  <w:style w:type="character" w:customStyle="1" w:styleId="12">
    <w:name w:val="页眉 Char"/>
    <w:basedOn w:val="9"/>
    <w:link w:val="7"/>
    <w:semiHidden/>
    <w:qFormat/>
    <w:uiPriority w:val="99"/>
    <w:rPr>
      <w:rFonts w:ascii="Tahoma" w:hAnsi="Tahoma"/>
      <w:sz w:val="18"/>
      <w:szCs w:val="18"/>
    </w:rPr>
  </w:style>
  <w:style w:type="character" w:customStyle="1" w:styleId="13">
    <w:name w:val="页脚 Char"/>
    <w:basedOn w:val="9"/>
    <w:link w:val="6"/>
    <w:semiHidden/>
    <w:qFormat/>
    <w:uiPriority w:val="99"/>
    <w:rPr>
      <w:rFonts w:ascii="Tahoma" w:hAnsi="Tahoma"/>
      <w:sz w:val="18"/>
      <w:szCs w:val="18"/>
    </w:rPr>
  </w:style>
  <w:style w:type="paragraph" w:customStyle="1" w:styleId="14">
    <w:name w:val="默认段落字体 Para Char Char Char Char"/>
    <w:basedOn w:val="1"/>
    <w:qFormat/>
    <w:uiPriority w:val="0"/>
  </w:style>
  <w:style w:type="character" w:customStyle="1" w:styleId="15">
    <w:name w:val="批注框文本 Char"/>
    <w:basedOn w:val="9"/>
    <w:link w:val="5"/>
    <w:semiHidden/>
    <w:qFormat/>
    <w:uiPriority w:val="99"/>
    <w:rPr>
      <w:rFonts w:ascii="Times New Roman" w:hAnsi="Times New Roman" w:eastAsia="宋体" w:cs="Times New Roman"/>
      <w:kern w:val="2"/>
      <w:sz w:val="18"/>
      <w:szCs w:val="18"/>
    </w:rPr>
  </w:style>
  <w:style w:type="character" w:customStyle="1" w:styleId="16">
    <w:name w:val="批注文字 Char"/>
    <w:basedOn w:val="9"/>
    <w:link w:val="4"/>
    <w:semiHidden/>
    <w:qFormat/>
    <w:uiPriority w:val="99"/>
    <w:rPr>
      <w:rFonts w:ascii="Times New Roman" w:hAnsi="Times New Roman" w:eastAsia="宋体" w:cs="Times New Roman"/>
      <w:kern w:val="2"/>
      <w:sz w:val="21"/>
      <w:szCs w:val="24"/>
    </w:rPr>
  </w:style>
  <w:style w:type="character" w:customStyle="1" w:styleId="17">
    <w:name w:val="批注主题 Char"/>
    <w:basedOn w:val="16"/>
    <w:link w:val="3"/>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1076</Words>
  <Characters>1124</Characters>
  <Lines>8</Lines>
  <Paragraphs>2</Paragraphs>
  <TotalTime>0</TotalTime>
  <ScaleCrop>false</ScaleCrop>
  <LinksUpToDate>false</LinksUpToDate>
  <CharactersWithSpaces>1266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2018-03-17T03:44:00Z</cp:lastPrinted>
  <dcterms:modified xsi:type="dcterms:W3CDTF">2018-07-19T02:49:53Z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