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autoSpaceDN w:val="0"/>
        <w:adjustRightInd w:val="0"/>
        <w:snapToGrid w:val="0"/>
        <w:spacing w:line="360" w:lineRule="auto"/>
        <w:jc w:val="center"/>
        <w:rPr>
          <w:rFonts w:hint="default" w:ascii="Times New Roman" w:hAnsi="Times New Roman" w:eastAsia="仿宋" w:cs="Times New Roman"/>
          <w:b/>
          <w:spacing w:val="20"/>
          <w:sz w:val="48"/>
          <w:szCs w:val="48"/>
        </w:rPr>
      </w:pPr>
    </w:p>
    <w:p>
      <w:pPr>
        <w:topLinePunct/>
        <w:autoSpaceDN w:val="0"/>
        <w:adjustRightInd w:val="0"/>
        <w:snapToGrid w:val="0"/>
        <w:spacing w:line="360" w:lineRule="auto"/>
        <w:jc w:val="center"/>
        <w:rPr>
          <w:rFonts w:hint="default" w:ascii="Times New Roman" w:hAnsi="Times New Roman" w:eastAsia="仿宋" w:cs="Times New Roman"/>
          <w:b/>
          <w:spacing w:val="20"/>
          <w:sz w:val="48"/>
          <w:szCs w:val="48"/>
        </w:rPr>
      </w:pPr>
    </w:p>
    <w:p>
      <w:pPr>
        <w:topLinePunct/>
        <w:autoSpaceDN w:val="0"/>
        <w:adjustRightInd w:val="0"/>
        <w:snapToGrid w:val="0"/>
        <w:spacing w:line="360" w:lineRule="auto"/>
        <w:jc w:val="center"/>
        <w:rPr>
          <w:rFonts w:hint="default" w:ascii="Times New Roman" w:hAnsi="Times New Roman" w:eastAsia="仿宋" w:cs="Times New Roman"/>
          <w:b/>
          <w:spacing w:val="20"/>
          <w:sz w:val="48"/>
          <w:szCs w:val="48"/>
        </w:rPr>
      </w:pPr>
    </w:p>
    <w:p>
      <w:pPr>
        <w:topLinePunct/>
        <w:autoSpaceDN w:val="0"/>
        <w:adjustRightInd w:val="0"/>
        <w:snapToGrid w:val="0"/>
        <w:spacing w:line="360" w:lineRule="auto"/>
        <w:jc w:val="center"/>
        <w:rPr>
          <w:rFonts w:hint="default" w:ascii="Times New Roman" w:hAnsi="Times New Roman" w:eastAsia="仿宋" w:cs="Times New Roman"/>
          <w:b/>
          <w:spacing w:val="20"/>
          <w:sz w:val="48"/>
          <w:szCs w:val="48"/>
        </w:rPr>
      </w:pPr>
    </w:p>
    <w:p>
      <w:pPr>
        <w:topLinePunct/>
        <w:autoSpaceDN w:val="0"/>
        <w:adjustRightInd w:val="0"/>
        <w:snapToGrid w:val="0"/>
        <w:spacing w:line="360" w:lineRule="auto"/>
        <w:ind w:firstLine="1044" w:firstLineChars="200"/>
        <w:jc w:val="center"/>
        <w:rPr>
          <w:rFonts w:hint="default" w:ascii="Times New Roman" w:hAnsi="Times New Roman" w:eastAsia="仿宋" w:cs="Times New Roman"/>
          <w:b/>
          <w:kern w:val="0"/>
          <w:sz w:val="52"/>
          <w:szCs w:val="52"/>
          <w:lang w:bidi="ar"/>
        </w:rPr>
      </w:pPr>
      <w:r>
        <w:rPr>
          <w:rFonts w:hint="eastAsia" w:ascii="Times New Roman" w:hAnsi="Times New Roman" w:eastAsia="仿宋" w:cs="Times New Roman"/>
          <w:b/>
          <w:kern w:val="0"/>
          <w:sz w:val="52"/>
          <w:szCs w:val="52"/>
          <w:lang w:eastAsia="zh-CN" w:bidi="ar"/>
        </w:rPr>
        <w:t>陕西豫光城矿环保科技有限公司</w:t>
      </w:r>
    </w:p>
    <w:p>
      <w:pPr>
        <w:topLinePunct/>
        <w:autoSpaceDN w:val="0"/>
        <w:adjustRightInd w:val="0"/>
        <w:snapToGrid w:val="0"/>
        <w:spacing w:line="360" w:lineRule="auto"/>
        <w:ind w:firstLine="1044" w:firstLineChars="200"/>
        <w:jc w:val="center"/>
        <w:rPr>
          <w:rFonts w:hint="default" w:ascii="Times New Roman" w:hAnsi="Times New Roman" w:eastAsia="仿宋" w:cs="Times New Roman"/>
          <w:b/>
          <w:sz w:val="52"/>
          <w:szCs w:val="52"/>
        </w:rPr>
      </w:pPr>
      <w:r>
        <w:rPr>
          <w:rFonts w:hint="default" w:ascii="Times New Roman" w:hAnsi="Times New Roman" w:eastAsia="仿宋" w:cs="Times New Roman"/>
          <w:b/>
          <w:kern w:val="0"/>
          <w:sz w:val="52"/>
          <w:szCs w:val="52"/>
          <w:lang w:bidi="ar"/>
        </w:rPr>
        <w:t>突发环境事件应急预案编制说明</w:t>
      </w:r>
    </w:p>
    <w:p>
      <w:pPr>
        <w:topLinePunct/>
        <w:autoSpaceDN w:val="0"/>
        <w:adjustRightInd w:val="0"/>
        <w:snapToGrid w:val="0"/>
        <w:spacing w:line="360" w:lineRule="auto"/>
        <w:jc w:val="left"/>
        <w:rPr>
          <w:rFonts w:hint="default" w:ascii="Times New Roman" w:hAnsi="Times New Roman" w:eastAsia="仿宋" w:cs="Times New Roman"/>
          <w:sz w:val="28"/>
          <w:szCs w:val="20"/>
        </w:rPr>
      </w:pPr>
    </w:p>
    <w:p>
      <w:pPr>
        <w:topLinePunct/>
        <w:autoSpaceDN w:val="0"/>
        <w:adjustRightInd w:val="0"/>
        <w:snapToGrid w:val="0"/>
        <w:spacing w:line="360" w:lineRule="auto"/>
        <w:jc w:val="left"/>
        <w:rPr>
          <w:rFonts w:hint="default" w:ascii="Times New Roman" w:hAnsi="Times New Roman" w:eastAsia="仿宋" w:cs="Times New Roman"/>
          <w:sz w:val="28"/>
          <w:szCs w:val="20"/>
        </w:rPr>
      </w:pPr>
    </w:p>
    <w:p>
      <w:pPr>
        <w:topLinePunct/>
        <w:autoSpaceDN w:val="0"/>
        <w:adjustRightInd w:val="0"/>
        <w:snapToGrid w:val="0"/>
        <w:spacing w:line="360" w:lineRule="auto"/>
        <w:jc w:val="left"/>
        <w:rPr>
          <w:rFonts w:hint="default" w:ascii="Times New Roman" w:hAnsi="Times New Roman" w:eastAsia="仿宋" w:cs="Times New Roman"/>
          <w:sz w:val="28"/>
          <w:szCs w:val="20"/>
        </w:rPr>
      </w:pPr>
    </w:p>
    <w:p>
      <w:pPr>
        <w:topLinePunct/>
        <w:autoSpaceDN w:val="0"/>
        <w:adjustRightInd w:val="0"/>
        <w:snapToGrid w:val="0"/>
        <w:spacing w:line="360" w:lineRule="auto"/>
        <w:jc w:val="left"/>
        <w:rPr>
          <w:rFonts w:hint="default" w:ascii="Times New Roman" w:hAnsi="Times New Roman" w:eastAsia="仿宋" w:cs="Times New Roman"/>
          <w:sz w:val="28"/>
          <w:szCs w:val="20"/>
        </w:rPr>
      </w:pPr>
    </w:p>
    <w:p>
      <w:pPr>
        <w:topLinePunct/>
        <w:autoSpaceDN w:val="0"/>
        <w:adjustRightInd w:val="0"/>
        <w:snapToGrid w:val="0"/>
        <w:spacing w:line="360" w:lineRule="auto"/>
        <w:jc w:val="left"/>
        <w:rPr>
          <w:rFonts w:hint="default" w:ascii="Times New Roman" w:hAnsi="Times New Roman" w:eastAsia="仿宋" w:cs="Times New Roman"/>
          <w:sz w:val="28"/>
          <w:szCs w:val="20"/>
        </w:rPr>
      </w:pPr>
    </w:p>
    <w:p>
      <w:pPr>
        <w:topLinePunct/>
        <w:autoSpaceDN w:val="0"/>
        <w:adjustRightInd w:val="0"/>
        <w:snapToGrid w:val="0"/>
        <w:spacing w:line="360" w:lineRule="auto"/>
        <w:jc w:val="left"/>
        <w:rPr>
          <w:rFonts w:hint="default" w:ascii="Times New Roman" w:hAnsi="Times New Roman" w:eastAsia="仿宋" w:cs="Times New Roman"/>
          <w:sz w:val="28"/>
          <w:szCs w:val="20"/>
        </w:rPr>
      </w:pPr>
    </w:p>
    <w:p>
      <w:pPr>
        <w:rPr>
          <w:rFonts w:hint="default" w:ascii="Times New Roman" w:hAnsi="Times New Roman" w:eastAsia="仿宋" w:cs="Times New Roman"/>
        </w:rPr>
      </w:pPr>
    </w:p>
    <w:p>
      <w:pPr>
        <w:topLinePunct/>
        <w:autoSpaceDN w:val="0"/>
        <w:adjustRightInd w:val="0"/>
        <w:snapToGrid w:val="0"/>
        <w:spacing w:line="360" w:lineRule="auto"/>
        <w:jc w:val="center"/>
        <w:rPr>
          <w:rFonts w:hint="default" w:ascii="Times New Roman" w:hAnsi="Times New Roman" w:eastAsia="仿宋" w:cs="Times New Roman"/>
          <w:b/>
          <w:sz w:val="28"/>
          <w:szCs w:val="20"/>
        </w:rPr>
      </w:pPr>
    </w:p>
    <w:p>
      <w:pPr>
        <w:topLinePunct/>
        <w:autoSpaceDN w:val="0"/>
        <w:adjustRightInd w:val="0"/>
        <w:snapToGrid w:val="0"/>
        <w:spacing w:line="360" w:lineRule="auto"/>
        <w:jc w:val="center"/>
        <w:rPr>
          <w:rFonts w:hint="default" w:ascii="Times New Roman" w:hAnsi="Times New Roman" w:eastAsia="仿宋" w:cs="Times New Roman"/>
          <w:b/>
          <w:sz w:val="28"/>
          <w:szCs w:val="20"/>
        </w:rPr>
      </w:pPr>
    </w:p>
    <w:p>
      <w:pPr>
        <w:rPr>
          <w:rFonts w:hint="default" w:ascii="Times New Roman" w:hAnsi="Times New Roman" w:eastAsia="仿宋" w:cs="Times New Roman"/>
        </w:rPr>
      </w:pPr>
    </w:p>
    <w:p>
      <w:pPr>
        <w:rPr>
          <w:rFonts w:hint="default" w:ascii="Times New Roman" w:hAnsi="Times New Roman" w:eastAsia="仿宋" w:cs="Times New Roman"/>
        </w:rPr>
      </w:pPr>
    </w:p>
    <w:p>
      <w:pPr>
        <w:rPr>
          <w:rFonts w:hint="default" w:ascii="Times New Roman" w:hAnsi="Times New Roman" w:eastAsia="仿宋" w:cs="Times New Roman"/>
        </w:rPr>
      </w:pPr>
    </w:p>
    <w:p>
      <w:pPr>
        <w:rPr>
          <w:rFonts w:hint="default" w:ascii="Times New Roman" w:hAnsi="Times New Roman" w:eastAsia="仿宋" w:cs="Times New Roman"/>
        </w:rPr>
      </w:pPr>
    </w:p>
    <w:p>
      <w:pPr>
        <w:topLinePunct/>
        <w:autoSpaceDN w:val="0"/>
        <w:adjustRightInd w:val="0"/>
        <w:snapToGrid w:val="0"/>
        <w:spacing w:line="360" w:lineRule="auto"/>
        <w:ind w:firstLine="562" w:firstLineChars="200"/>
        <w:jc w:val="center"/>
        <w:rPr>
          <w:rFonts w:hint="default" w:ascii="Times New Roman" w:hAnsi="Times New Roman" w:eastAsia="仿宋" w:cs="Times New Roman"/>
          <w:b/>
          <w:kern w:val="0"/>
          <w:sz w:val="28"/>
          <w:szCs w:val="20"/>
          <w:lang w:bidi="ar"/>
        </w:rPr>
      </w:pPr>
      <w:r>
        <w:rPr>
          <w:rFonts w:hint="default" w:ascii="Times New Roman" w:hAnsi="Times New Roman" w:eastAsia="仿宋" w:cs="Times New Roman"/>
          <w:b/>
          <w:kern w:val="0"/>
          <w:sz w:val="28"/>
          <w:szCs w:val="20"/>
          <w:lang w:bidi="ar"/>
        </w:rPr>
        <w:t xml:space="preserve">  </w:t>
      </w:r>
    </w:p>
    <w:p>
      <w:pPr>
        <w:topLinePunct/>
        <w:autoSpaceDN w:val="0"/>
        <w:adjustRightInd w:val="0"/>
        <w:snapToGrid w:val="0"/>
        <w:spacing w:line="360" w:lineRule="auto"/>
        <w:ind w:firstLine="883" w:firstLineChars="200"/>
        <w:jc w:val="center"/>
        <w:rPr>
          <w:rFonts w:hint="default" w:ascii="Times New Roman" w:hAnsi="Times New Roman" w:eastAsia="仿宋" w:cs="Times New Roman"/>
          <w:b/>
          <w:kern w:val="0"/>
          <w:sz w:val="52"/>
          <w:szCs w:val="52"/>
          <w:lang w:bidi="ar"/>
        </w:rPr>
      </w:pPr>
      <w:r>
        <w:rPr>
          <w:rFonts w:hint="eastAsia" w:ascii="Times New Roman" w:hAnsi="Times New Roman" w:eastAsia="仿宋" w:cs="Times New Roman"/>
          <w:b/>
          <w:kern w:val="0"/>
          <w:sz w:val="44"/>
          <w:szCs w:val="44"/>
          <w:lang w:eastAsia="zh-CN" w:bidi="ar"/>
        </w:rPr>
        <w:t>陕西豫光城矿环保科技有限公司</w:t>
      </w:r>
    </w:p>
    <w:p>
      <w:pPr>
        <w:widowControl/>
        <w:adjustRightInd w:val="0"/>
        <w:snapToGrid w:val="0"/>
        <w:spacing w:line="360" w:lineRule="auto"/>
        <w:ind w:firstLine="883" w:firstLineChars="200"/>
        <w:jc w:val="center"/>
        <w:rPr>
          <w:rFonts w:hint="default" w:ascii="Times New Roman" w:hAnsi="Times New Roman" w:eastAsia="仿宋" w:cs="Times New Roman"/>
          <w:b/>
          <w:kern w:val="0"/>
          <w:sz w:val="44"/>
          <w:szCs w:val="44"/>
          <w:lang w:bidi="ar"/>
        </w:rPr>
        <w:sectPr>
          <w:pgSz w:w="11906" w:h="16838"/>
          <w:pgMar w:top="1440" w:right="1531" w:bottom="1440" w:left="1531" w:header="851" w:footer="992" w:gutter="0"/>
          <w:cols w:space="425" w:num="1"/>
          <w:docGrid w:type="lines" w:linePitch="312" w:charSpace="0"/>
        </w:sectPr>
      </w:pPr>
      <w:r>
        <w:rPr>
          <w:rFonts w:hint="default" w:ascii="Times New Roman" w:hAnsi="Times New Roman" w:eastAsia="仿宋" w:cs="Times New Roman"/>
          <w:b/>
          <w:kern w:val="0"/>
          <w:sz w:val="44"/>
          <w:szCs w:val="44"/>
          <w:lang w:bidi="ar"/>
        </w:rPr>
        <w:t>二〇一八年</w:t>
      </w:r>
      <w:r>
        <w:rPr>
          <w:rFonts w:hint="eastAsia" w:eastAsia="仿宋" w:cs="Times New Roman"/>
          <w:b/>
          <w:kern w:val="0"/>
          <w:sz w:val="44"/>
          <w:szCs w:val="44"/>
          <w:lang w:val="en-US" w:eastAsia="zh-CN" w:bidi="ar"/>
        </w:rPr>
        <w:t>十二</w:t>
      </w:r>
      <w:r>
        <w:rPr>
          <w:rFonts w:hint="default" w:ascii="Times New Roman" w:hAnsi="Times New Roman" w:eastAsia="仿宋" w:cs="Times New Roman"/>
          <w:b/>
          <w:kern w:val="0"/>
          <w:sz w:val="44"/>
          <w:szCs w:val="44"/>
          <w:lang w:bidi="ar"/>
        </w:rPr>
        <w:t>月</w:t>
      </w:r>
    </w:p>
    <w:p>
      <w:pPr>
        <w:pStyle w:val="2"/>
        <w:rPr>
          <w:rFonts w:hint="default"/>
        </w:rPr>
        <w:sectPr>
          <w:pgSz w:w="11906" w:h="16838"/>
          <w:pgMar w:top="1440" w:right="1531" w:bottom="1440" w:left="1531" w:header="851" w:footer="992" w:gutter="0"/>
          <w:cols w:space="425" w:num="1"/>
          <w:docGrid w:type="lines" w:linePitch="312" w:charSpace="0"/>
        </w:sectPr>
      </w:pPr>
    </w:p>
    <w:p>
      <w:pPr>
        <w:rPr>
          <w:rFonts w:hint="default"/>
        </w:rPr>
      </w:pPr>
    </w:p>
    <w:p>
      <w:pPr>
        <w:adjustRightInd w:val="0"/>
        <w:snapToGrid w:val="0"/>
        <w:spacing w:line="360" w:lineRule="auto"/>
        <w:rPr>
          <w:rFonts w:hint="default" w:ascii="Times New Roman" w:hAnsi="Times New Roman" w:eastAsia="仿宋" w:cs="Times New Roman"/>
        </w:rPr>
      </w:pPr>
    </w:p>
    <w:p>
      <w:pPr>
        <w:jc w:val="center"/>
        <w:rPr>
          <w:rFonts w:hint="default" w:ascii="Times New Roman" w:hAnsi="Times New Roman" w:eastAsia="仿宋" w:cs="Times New Roman"/>
          <w:b/>
          <w:bCs/>
          <w:sz w:val="32"/>
          <w:szCs w:val="32"/>
        </w:rPr>
      </w:pPr>
    </w:p>
    <w:p>
      <w:pPr>
        <w:ind w:firstLine="562" w:firstLineChars="200"/>
        <w:jc w:val="center"/>
        <w:rPr>
          <w:rFonts w:hint="default" w:ascii="Times New Roman" w:hAnsi="Times New Roman" w:cs="Times New Roman" w:eastAsiaTheme="minorEastAsia"/>
          <w:b/>
          <w:bCs/>
          <w:sz w:val="24"/>
          <w:szCs w:val="24"/>
        </w:rPr>
      </w:pPr>
      <w:r>
        <w:rPr>
          <w:rFonts w:hint="eastAsia" w:ascii="仿宋" w:hAnsi="仿宋" w:eastAsia="仿宋" w:cs="仿宋"/>
          <w:b/>
          <w:bCs/>
          <w:sz w:val="28"/>
          <w:szCs w:val="28"/>
        </w:rPr>
        <w:t>目 录</w:t>
      </w:r>
    </w:p>
    <w:p>
      <w:pPr>
        <w:pStyle w:val="9"/>
        <w:tabs>
          <w:tab w:val="right" w:leader="dot" w:pos="8844"/>
        </w:tabs>
        <w:ind w:firstLine="480" w:firstLineChars="200"/>
        <w:rPr>
          <w:rFonts w:hint="eastAsia" w:ascii="仿宋" w:hAnsi="仿宋" w:eastAsia="仿宋" w:cs="仿宋"/>
          <w:sz w:val="28"/>
          <w:szCs w:val="28"/>
        </w:rPr>
      </w:pPr>
      <w:r>
        <w:rPr>
          <w:rFonts w:hint="default" w:ascii="Times New Roman" w:hAnsi="Times New Roman" w:cs="Times New Roman" w:eastAsiaTheme="minorEastAsia"/>
          <w:sz w:val="24"/>
          <w:szCs w:val="24"/>
        </w:rPr>
        <w:fldChar w:fldCharType="begin"/>
      </w:r>
      <w:r>
        <w:rPr>
          <w:rFonts w:hint="default" w:ascii="Times New Roman" w:hAnsi="Times New Roman" w:cs="Times New Roman" w:eastAsiaTheme="minorEastAsia"/>
          <w:sz w:val="24"/>
          <w:szCs w:val="24"/>
        </w:rPr>
        <w:instrText xml:space="preserve">TOC \o "1-3" \h \u </w:instrText>
      </w:r>
      <w:r>
        <w:rPr>
          <w:rFonts w:hint="default" w:ascii="Times New Roman" w:hAnsi="Times New Roman" w:cs="Times New Roman" w:eastAsiaTheme="minorEastAsia"/>
          <w:sz w:val="24"/>
          <w:szCs w:val="24"/>
        </w:rPr>
        <w:fldChar w:fldCharType="separate"/>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_Toc15633 </w:instrText>
      </w:r>
      <w:r>
        <w:rPr>
          <w:rFonts w:hint="eastAsia" w:ascii="仿宋" w:hAnsi="仿宋" w:eastAsia="仿宋" w:cs="仿宋"/>
          <w:sz w:val="28"/>
          <w:szCs w:val="28"/>
        </w:rPr>
        <w:fldChar w:fldCharType="separate"/>
      </w:r>
      <w:r>
        <w:rPr>
          <w:rFonts w:hint="eastAsia" w:ascii="仿宋" w:hAnsi="仿宋" w:eastAsia="仿宋" w:cs="仿宋"/>
          <w:sz w:val="28"/>
          <w:szCs w:val="28"/>
        </w:rPr>
        <w:t>1 编制过程</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_Toc15633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844"/>
        </w:tabs>
        <w:ind w:firstLine="560" w:firstLineChars="20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_Toc8639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1.1 编制背景</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_Toc8639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844"/>
        </w:tabs>
        <w:ind w:firstLine="560" w:firstLineChars="20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_Toc17665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1.2 预案编制的依据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_Toc17665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844"/>
        </w:tabs>
        <w:ind w:firstLine="560" w:firstLineChars="20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_Toc14665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1.3 预案的编制原则</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_Toc14665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844"/>
        </w:tabs>
        <w:ind w:firstLine="560" w:firstLineChars="20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_Toc3195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1.4 预案编制的简要过程</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_Toc3195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844"/>
        </w:tabs>
        <w:ind w:firstLine="560" w:firstLineChars="20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_Toc25656 </w:instrText>
      </w:r>
      <w:r>
        <w:rPr>
          <w:rFonts w:hint="eastAsia" w:ascii="仿宋" w:hAnsi="仿宋" w:eastAsia="仿宋" w:cs="仿宋"/>
          <w:sz w:val="28"/>
          <w:szCs w:val="28"/>
        </w:rPr>
        <w:fldChar w:fldCharType="separate"/>
      </w:r>
      <w:r>
        <w:rPr>
          <w:rFonts w:hint="eastAsia" w:ascii="仿宋" w:hAnsi="仿宋" w:eastAsia="仿宋" w:cs="仿宋"/>
          <w:sz w:val="28"/>
          <w:szCs w:val="28"/>
        </w:rPr>
        <w:t>2 重点内容说明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_Toc25656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844"/>
        </w:tabs>
        <w:ind w:firstLine="560" w:firstLineChars="20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_Toc1207 </w:instrText>
      </w:r>
      <w:r>
        <w:rPr>
          <w:rFonts w:hint="eastAsia" w:ascii="仿宋" w:hAnsi="仿宋" w:eastAsia="仿宋" w:cs="仿宋"/>
          <w:sz w:val="28"/>
          <w:szCs w:val="28"/>
        </w:rPr>
        <w:fldChar w:fldCharType="separate"/>
      </w:r>
      <w:r>
        <w:rPr>
          <w:rFonts w:hint="eastAsia" w:ascii="仿宋" w:hAnsi="仿宋" w:eastAsia="仿宋" w:cs="仿宋"/>
          <w:sz w:val="28"/>
          <w:szCs w:val="28"/>
        </w:rPr>
        <w:t>3 征求意见及采纳情况说明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_Toc1207 </w:instrText>
      </w:r>
      <w:r>
        <w:rPr>
          <w:rFonts w:hint="eastAsia" w:ascii="仿宋" w:hAnsi="仿宋" w:eastAsia="仿宋" w:cs="仿宋"/>
          <w:sz w:val="28"/>
          <w:szCs w:val="28"/>
        </w:rPr>
        <w:fldChar w:fldCharType="separate"/>
      </w:r>
      <w:r>
        <w:rPr>
          <w:rFonts w:hint="eastAsia" w:ascii="仿宋" w:hAnsi="仿宋" w:eastAsia="仿宋" w:cs="仿宋"/>
          <w:sz w:val="28"/>
          <w:szCs w:val="28"/>
        </w:rPr>
        <w:t>5</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844"/>
        </w:tabs>
        <w:ind w:firstLine="560" w:firstLineChars="200"/>
        <w:rPr>
          <w:rFonts w:hint="default" w:ascii="Times New Roman" w:hAnsi="Times New Roman" w:cs="Times New Roman" w:eastAsiaTheme="minorEastAsia"/>
          <w:sz w:val="24"/>
          <w:szCs w:val="24"/>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_Toc6406 </w:instrText>
      </w:r>
      <w:r>
        <w:rPr>
          <w:rFonts w:hint="eastAsia" w:ascii="仿宋" w:hAnsi="仿宋" w:eastAsia="仿宋" w:cs="仿宋"/>
          <w:sz w:val="28"/>
          <w:szCs w:val="28"/>
        </w:rPr>
        <w:fldChar w:fldCharType="separate"/>
      </w:r>
      <w:r>
        <w:rPr>
          <w:rFonts w:hint="eastAsia" w:ascii="仿宋" w:hAnsi="仿宋" w:eastAsia="仿宋" w:cs="仿宋"/>
          <w:sz w:val="28"/>
          <w:szCs w:val="28"/>
        </w:rPr>
        <w:t>4 评审情况说明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_Toc6406 </w:instrText>
      </w:r>
      <w:r>
        <w:rPr>
          <w:rFonts w:hint="eastAsia" w:ascii="仿宋" w:hAnsi="仿宋" w:eastAsia="仿宋" w:cs="仿宋"/>
          <w:sz w:val="28"/>
          <w:szCs w:val="28"/>
        </w:rPr>
        <w:fldChar w:fldCharType="separate"/>
      </w:r>
      <w:r>
        <w:rPr>
          <w:rFonts w:hint="eastAsia" w:ascii="仿宋" w:hAnsi="仿宋" w:eastAsia="仿宋" w:cs="仿宋"/>
          <w:sz w:val="28"/>
          <w:szCs w:val="28"/>
        </w:rPr>
        <w:t>5</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adjustRightInd w:val="0"/>
        <w:snapToGrid w:val="0"/>
        <w:spacing w:line="360" w:lineRule="auto"/>
        <w:ind w:firstLine="480" w:firstLineChars="200"/>
        <w:jc w:val="center"/>
        <w:rPr>
          <w:rFonts w:hint="default" w:ascii="Times New Roman" w:hAnsi="Times New Roman" w:eastAsia="仿宋" w:cs="Times New Roman"/>
          <w:b/>
        </w:rPr>
      </w:pPr>
      <w:r>
        <w:rPr>
          <w:rFonts w:hint="default" w:ascii="Times New Roman" w:hAnsi="Times New Roman" w:cs="Times New Roman" w:eastAsiaTheme="minorEastAsia"/>
          <w:sz w:val="24"/>
          <w:szCs w:val="24"/>
        </w:rPr>
        <w:fldChar w:fldCharType="end"/>
      </w:r>
    </w:p>
    <w:p>
      <w:pPr>
        <w:pStyle w:val="3"/>
        <w:numPr>
          <w:ilvl w:val="0"/>
          <w:numId w:val="0"/>
        </w:numPr>
        <w:tabs>
          <w:tab w:val="left" w:pos="5790"/>
        </w:tabs>
        <w:topLinePunct/>
        <w:spacing w:line="360" w:lineRule="auto"/>
        <w:jc w:val="left"/>
        <w:rPr>
          <w:rFonts w:hint="default" w:ascii="Times New Roman" w:hAnsi="Times New Roman" w:eastAsia="仿宋" w:cs="Times New Roman"/>
          <w:b/>
          <w:sz w:val="32"/>
        </w:rPr>
        <w:sectPr>
          <w:pgSz w:w="11906" w:h="16838"/>
          <w:pgMar w:top="1440" w:right="1531" w:bottom="1440" w:left="1531" w:header="851" w:footer="992" w:gutter="0"/>
          <w:cols w:space="425" w:num="1"/>
          <w:docGrid w:type="lines" w:linePitch="312" w:charSpace="0"/>
        </w:sectPr>
      </w:pPr>
    </w:p>
    <w:p>
      <w:pPr>
        <w:rPr>
          <w:rFonts w:hint="default"/>
        </w:rPr>
        <w:sectPr>
          <w:pgSz w:w="11906" w:h="16838"/>
          <w:pgMar w:top="1440" w:right="1531" w:bottom="1440" w:left="1531" w:header="851" w:footer="992" w:gutter="0"/>
          <w:cols w:space="425" w:num="1"/>
          <w:docGrid w:type="lines" w:linePitch="312" w:charSpace="0"/>
        </w:sectPr>
      </w:pPr>
    </w:p>
    <w:p>
      <w:pPr>
        <w:pStyle w:val="3"/>
        <w:numPr>
          <w:ilvl w:val="0"/>
          <w:numId w:val="0"/>
        </w:numPr>
        <w:tabs>
          <w:tab w:val="left" w:pos="5790"/>
        </w:tabs>
        <w:topLinePunct/>
        <w:spacing w:line="360" w:lineRule="auto"/>
        <w:ind w:firstLine="643" w:firstLineChars="200"/>
        <w:jc w:val="left"/>
        <w:rPr>
          <w:rFonts w:hint="eastAsia" w:ascii="仿宋" w:hAnsi="仿宋" w:eastAsia="仿宋" w:cs="仿宋"/>
          <w:b/>
          <w:sz w:val="32"/>
          <w:szCs w:val="32"/>
        </w:rPr>
      </w:pPr>
      <w:bookmarkStart w:id="0" w:name="_Toc15633"/>
      <w:bookmarkStart w:id="9" w:name="_GoBack"/>
      <w:bookmarkEnd w:id="9"/>
      <w:r>
        <w:rPr>
          <w:rFonts w:hint="eastAsia" w:ascii="仿宋" w:hAnsi="仿宋" w:eastAsia="仿宋" w:cs="仿宋"/>
          <w:b/>
          <w:sz w:val="32"/>
          <w:szCs w:val="32"/>
        </w:rPr>
        <w:t>1 编制过程</w:t>
      </w:r>
      <w:bookmarkEnd w:id="0"/>
    </w:p>
    <w:p>
      <w:pPr>
        <w:pStyle w:val="2"/>
        <w:numPr>
          <w:ilvl w:val="1"/>
          <w:numId w:val="0"/>
        </w:numPr>
        <w:adjustRightInd w:val="0"/>
        <w:snapToGrid w:val="0"/>
        <w:spacing w:line="360" w:lineRule="auto"/>
        <w:ind w:firstLine="602" w:firstLineChars="200"/>
        <w:rPr>
          <w:rFonts w:hint="eastAsia" w:ascii="仿宋" w:hAnsi="仿宋" w:eastAsia="仿宋" w:cs="仿宋"/>
          <w:b/>
          <w:bCs w:val="0"/>
          <w:sz w:val="30"/>
          <w:szCs w:val="30"/>
        </w:rPr>
      </w:pPr>
      <w:bookmarkStart w:id="1" w:name="_Toc8639"/>
      <w:r>
        <w:rPr>
          <w:rFonts w:hint="eastAsia" w:ascii="仿宋" w:hAnsi="仿宋" w:eastAsia="仿宋" w:cs="仿宋"/>
          <w:b/>
          <w:bCs w:val="0"/>
          <w:sz w:val="30"/>
          <w:szCs w:val="30"/>
        </w:rPr>
        <w:t>1.1 编制背景</w:t>
      </w:r>
      <w:bookmarkEnd w:id="1"/>
    </w:p>
    <w:p>
      <w:pPr>
        <w:topLinePunct/>
        <w:autoSpaceDN w:val="0"/>
        <w:adjustRightInd w:val="0"/>
        <w:snapToGrid w:val="0"/>
        <w:spacing w:line="360" w:lineRule="auto"/>
        <w:ind w:firstLine="560" w:firstLineChars="200"/>
        <w:jc w:val="both"/>
        <w:rPr>
          <w:rFonts w:hint="eastAsia" w:ascii="仿宋" w:hAnsi="仿宋" w:eastAsia="仿宋" w:cs="仿宋"/>
          <w:sz w:val="28"/>
          <w:szCs w:val="28"/>
        </w:rPr>
      </w:pPr>
      <w:r>
        <w:rPr>
          <w:rFonts w:hint="eastAsia" w:ascii="仿宋" w:hAnsi="仿宋" w:eastAsia="仿宋" w:cs="仿宋"/>
          <w:sz w:val="28"/>
          <w:szCs w:val="28"/>
        </w:rPr>
        <w:t>根据陕西省环保局发布的《关于做好企业事业单位突发环境事件应急预案备案管理工作的通知》中的规定，同时根据国家、</w:t>
      </w:r>
      <w:r>
        <w:rPr>
          <w:rFonts w:hint="eastAsia" w:ascii="仿宋" w:hAnsi="仿宋" w:eastAsia="仿宋" w:cs="仿宋"/>
          <w:sz w:val="28"/>
          <w:szCs w:val="28"/>
          <w:lang w:eastAsia="zh-CN"/>
        </w:rPr>
        <w:t>西安市</w:t>
      </w:r>
      <w:r>
        <w:rPr>
          <w:rFonts w:hint="eastAsia" w:ascii="仿宋" w:hAnsi="仿宋" w:eastAsia="仿宋" w:cs="仿宋"/>
          <w:sz w:val="28"/>
          <w:szCs w:val="28"/>
        </w:rPr>
        <w:t>关的法律要求，由</w:t>
      </w:r>
      <w:r>
        <w:rPr>
          <w:rFonts w:hint="eastAsia" w:ascii="仿宋" w:hAnsi="仿宋" w:eastAsia="仿宋" w:cs="仿宋"/>
          <w:sz w:val="28"/>
          <w:szCs w:val="28"/>
          <w:lang w:eastAsia="zh-CN"/>
        </w:rPr>
        <w:t>陕西豫光城矿环保科技有限公司</w:t>
      </w:r>
      <w:r>
        <w:rPr>
          <w:rFonts w:hint="eastAsia" w:ascii="仿宋" w:hAnsi="仿宋" w:eastAsia="仿宋" w:cs="仿宋"/>
          <w:sz w:val="28"/>
          <w:szCs w:val="28"/>
        </w:rPr>
        <w:t>负责组织编制“</w:t>
      </w:r>
      <w:r>
        <w:rPr>
          <w:rFonts w:hint="eastAsia" w:ascii="仿宋" w:hAnsi="仿宋" w:eastAsia="仿宋" w:cs="仿宋"/>
          <w:sz w:val="28"/>
          <w:szCs w:val="28"/>
          <w:lang w:eastAsia="zh-CN"/>
        </w:rPr>
        <w:t>陕西豫光城矿环保科技有限公司</w:t>
      </w:r>
      <w:r>
        <w:rPr>
          <w:rFonts w:hint="eastAsia" w:ascii="仿宋" w:hAnsi="仿宋" w:eastAsia="仿宋" w:cs="仿宋"/>
          <w:sz w:val="28"/>
          <w:szCs w:val="28"/>
        </w:rPr>
        <w:t>突发环境事件应急预案”（包括风险评估报告、应急资源调查报告、应急预案文本及编制说明），完成本预案编制后提交上级主管部门备案。</w:t>
      </w:r>
    </w:p>
    <w:p>
      <w:pPr>
        <w:pStyle w:val="2"/>
        <w:numPr>
          <w:ilvl w:val="1"/>
          <w:numId w:val="0"/>
        </w:numPr>
        <w:adjustRightInd w:val="0"/>
        <w:snapToGrid w:val="0"/>
        <w:spacing w:line="360" w:lineRule="auto"/>
        <w:ind w:firstLine="602" w:firstLineChars="200"/>
        <w:rPr>
          <w:rFonts w:hint="eastAsia" w:ascii="仿宋" w:hAnsi="仿宋" w:eastAsia="仿宋" w:cs="仿宋"/>
          <w:b/>
          <w:bCs w:val="0"/>
          <w:sz w:val="30"/>
          <w:szCs w:val="30"/>
        </w:rPr>
      </w:pPr>
      <w:bookmarkStart w:id="2" w:name="_Toc17665"/>
      <w:r>
        <w:rPr>
          <w:rFonts w:hint="eastAsia" w:ascii="仿宋" w:hAnsi="仿宋" w:eastAsia="仿宋" w:cs="仿宋"/>
          <w:b/>
          <w:bCs w:val="0"/>
          <w:sz w:val="30"/>
          <w:szCs w:val="30"/>
        </w:rPr>
        <w:t>1.2 预案编制的依据</w:t>
      </w:r>
      <w:bookmarkEnd w:id="2"/>
      <w:r>
        <w:rPr>
          <w:rFonts w:hint="eastAsia" w:ascii="仿宋" w:hAnsi="仿宋" w:eastAsia="仿宋" w:cs="仿宋"/>
          <w:b/>
          <w:bCs w:val="0"/>
          <w:sz w:val="30"/>
          <w:szCs w:val="30"/>
        </w:rPr>
        <w:t xml:space="preserve"> </w:t>
      </w:r>
    </w:p>
    <w:p>
      <w:pPr>
        <w:adjustRightInd w:val="0"/>
        <w:snapToGrid w:val="0"/>
        <w:spacing w:line="360" w:lineRule="auto"/>
        <w:ind w:firstLine="560" w:firstLineChars="200"/>
        <w:rPr>
          <w:rFonts w:hint="default" w:ascii="Times New Roman" w:hAnsi="Times New Roman" w:cs="Times New Roman" w:eastAsiaTheme="minorEastAsia"/>
          <w:sz w:val="24"/>
          <w:szCs w:val="24"/>
        </w:rPr>
      </w:pPr>
      <w:bookmarkStart w:id="3" w:name="_Toc395252142"/>
      <w:r>
        <w:rPr>
          <w:rFonts w:hint="eastAsia" w:ascii="仿宋" w:hAnsi="仿宋" w:eastAsia="仿宋" w:cs="仿宋"/>
          <w:sz w:val="28"/>
          <w:szCs w:val="28"/>
        </w:rPr>
        <w:t>“</w:t>
      </w:r>
      <w:r>
        <w:rPr>
          <w:rFonts w:hint="eastAsia" w:ascii="仿宋" w:hAnsi="仿宋" w:eastAsia="仿宋" w:cs="仿宋"/>
          <w:sz w:val="28"/>
          <w:szCs w:val="28"/>
          <w:lang w:eastAsia="zh-CN"/>
        </w:rPr>
        <w:t>陕西豫光城矿环保科技有限公司</w:t>
      </w:r>
      <w:r>
        <w:rPr>
          <w:rFonts w:hint="eastAsia" w:ascii="仿宋" w:hAnsi="仿宋" w:eastAsia="仿宋" w:cs="仿宋"/>
          <w:sz w:val="28"/>
          <w:szCs w:val="28"/>
        </w:rPr>
        <w:t>突发环境事件应急预案”(以下简称“预案”)，是应对</w:t>
      </w:r>
      <w:r>
        <w:rPr>
          <w:rFonts w:hint="eastAsia" w:ascii="仿宋" w:hAnsi="仿宋" w:eastAsia="仿宋" w:cs="仿宋"/>
          <w:sz w:val="28"/>
          <w:szCs w:val="28"/>
          <w:lang w:eastAsia="zh-CN"/>
        </w:rPr>
        <w:t>陕西豫光城矿环保科技有限公司</w:t>
      </w:r>
      <w:r>
        <w:rPr>
          <w:rFonts w:hint="eastAsia" w:ascii="仿宋" w:hAnsi="仿宋" w:eastAsia="仿宋" w:cs="仿宋"/>
          <w:sz w:val="28"/>
          <w:szCs w:val="28"/>
        </w:rPr>
        <w:t>突发环境事件的指导性文件。“预案”是依据《中华人民共和国环境保护法》、《中华人民共和国安全生产法》、《中华人民共和国突发事件应对法》等法律法规和有关规定编制的，同时结合本公司实际，经过多次讨论修改完成的，具有较强的针对性、规范性和可操作性。</w:t>
      </w:r>
    </w:p>
    <w:bookmarkEnd w:id="3"/>
    <w:p>
      <w:pPr>
        <w:pStyle w:val="2"/>
        <w:numPr>
          <w:ilvl w:val="1"/>
          <w:numId w:val="0"/>
        </w:numPr>
        <w:adjustRightInd w:val="0"/>
        <w:snapToGrid w:val="0"/>
        <w:spacing w:line="360" w:lineRule="auto"/>
        <w:ind w:firstLine="602" w:firstLineChars="200"/>
        <w:rPr>
          <w:rFonts w:hint="eastAsia" w:ascii="仿宋" w:hAnsi="仿宋" w:eastAsia="仿宋" w:cs="仿宋"/>
          <w:b/>
          <w:bCs w:val="0"/>
          <w:sz w:val="30"/>
          <w:szCs w:val="30"/>
        </w:rPr>
      </w:pPr>
      <w:bookmarkStart w:id="4" w:name="_Toc14665"/>
      <w:r>
        <w:rPr>
          <w:rFonts w:hint="eastAsia" w:ascii="仿宋" w:hAnsi="仿宋" w:eastAsia="仿宋" w:cs="仿宋"/>
          <w:b/>
          <w:bCs w:val="0"/>
          <w:sz w:val="30"/>
          <w:szCs w:val="30"/>
        </w:rPr>
        <w:t>1.3 预案的编制原则</w:t>
      </w:r>
      <w:bookmarkEnd w:id="4"/>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编制本预案我们坚持以下几个原则：</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（1）统一领导，分类管理，分级响应</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加强公司各部门之间协同与合作，提高快速反应能力。针对不同风险源所造成的环境污染的特点，实行分类管理，充分发挥部门专业优势，使采取的措施与突发环境事件造成的危害范围和社会影响相适应。</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（2）环境优先，先期处置，防止危害扩大</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发生突发环境事件之后，迅速有效采取先期处置，尽量消除或减轻突发环境事件的影响。</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（3）平战结合，快速响应，科学应急</w:t>
      </w:r>
    </w:p>
    <w:p>
      <w:pPr>
        <w:adjustRightInd w:val="0"/>
        <w:snapToGrid w:val="0"/>
        <w:spacing w:line="360" w:lineRule="auto"/>
        <w:ind w:firstLine="560" w:firstLineChars="200"/>
        <w:rPr>
          <w:rFonts w:hint="default" w:ascii="Times New Roman" w:hAnsi="Times New Roman" w:cs="Times New Roman" w:eastAsiaTheme="minorEastAsia"/>
          <w:sz w:val="24"/>
          <w:szCs w:val="24"/>
        </w:rPr>
      </w:pPr>
      <w:r>
        <w:rPr>
          <w:rFonts w:hint="eastAsia" w:ascii="仿宋" w:hAnsi="仿宋" w:eastAsia="仿宋" w:cs="仿宋"/>
          <w:sz w:val="28"/>
          <w:szCs w:val="28"/>
        </w:rPr>
        <w:t>积极做好应对突发环境事件的思想准备、物资准备、技术准备、工作准备，加强培训演练，充分利用现有专业环境应急救援力量。</w:t>
      </w:r>
    </w:p>
    <w:p>
      <w:pPr>
        <w:pStyle w:val="2"/>
        <w:numPr>
          <w:ilvl w:val="1"/>
          <w:numId w:val="0"/>
        </w:numPr>
        <w:adjustRightInd w:val="0"/>
        <w:snapToGrid w:val="0"/>
        <w:spacing w:line="360" w:lineRule="auto"/>
        <w:ind w:firstLine="602" w:firstLineChars="200"/>
        <w:rPr>
          <w:rFonts w:hint="eastAsia" w:ascii="仿宋" w:hAnsi="仿宋" w:eastAsia="仿宋" w:cs="仿宋"/>
          <w:b/>
          <w:bCs w:val="0"/>
          <w:sz w:val="30"/>
          <w:szCs w:val="30"/>
        </w:rPr>
      </w:pPr>
      <w:bookmarkStart w:id="5" w:name="_Toc3195"/>
      <w:r>
        <w:rPr>
          <w:rFonts w:hint="eastAsia" w:ascii="仿宋" w:hAnsi="仿宋" w:eastAsia="仿宋" w:cs="仿宋"/>
          <w:b/>
          <w:bCs w:val="0"/>
          <w:sz w:val="30"/>
          <w:szCs w:val="30"/>
        </w:rPr>
        <w:t>1.4 预案编制的简要过程</w:t>
      </w:r>
      <w:bookmarkEnd w:id="5"/>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（一）成立环境应急预案编制组，明确编制组组长和成员组成、工作任务、编制计划和经费预算。应急预案编制组组成如下表所示。</w:t>
      </w:r>
    </w:p>
    <w:p>
      <w:pPr>
        <w:ind w:firstLine="482" w:firstLineChars="200"/>
        <w:jc w:val="center"/>
        <w:rPr>
          <w:rFonts w:hint="eastAsia" w:ascii="仿宋" w:hAnsi="仿宋" w:eastAsia="仿宋" w:cs="仿宋"/>
          <w:b/>
          <w:bCs/>
          <w:sz w:val="24"/>
          <w:szCs w:val="24"/>
        </w:rPr>
      </w:pPr>
      <w:r>
        <w:rPr>
          <w:rFonts w:hint="eastAsia" w:ascii="仿宋" w:hAnsi="仿宋" w:eastAsia="仿宋" w:cs="仿宋"/>
          <w:b/>
          <w:bCs/>
          <w:sz w:val="24"/>
          <w:szCs w:val="24"/>
        </w:rPr>
        <w:t>表</w:t>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SEQ 表 \* ARABIC \s 1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w:t>
      </w:r>
      <w:r>
        <w:rPr>
          <w:rFonts w:hint="eastAsia" w:ascii="仿宋" w:hAnsi="仿宋" w:eastAsia="仿宋" w:cs="仿宋"/>
          <w:b/>
          <w:bCs/>
          <w:sz w:val="24"/>
          <w:szCs w:val="24"/>
        </w:rPr>
        <w:fldChar w:fldCharType="end"/>
      </w:r>
      <w:r>
        <w:rPr>
          <w:rFonts w:hint="eastAsia" w:ascii="仿宋" w:hAnsi="仿宋" w:eastAsia="仿宋" w:cs="仿宋"/>
          <w:b/>
          <w:bCs/>
          <w:sz w:val="24"/>
          <w:szCs w:val="24"/>
        </w:rPr>
        <w:t xml:space="preserve">   应急预案编制组人员构成</w:t>
      </w:r>
    </w:p>
    <w:tbl>
      <w:tblPr>
        <w:tblStyle w:val="13"/>
        <w:tblW w:w="850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1633"/>
        <w:gridCol w:w="55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96"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主要职责</w:t>
            </w:r>
          </w:p>
        </w:tc>
        <w:tc>
          <w:tcPr>
            <w:tcW w:w="163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姓名</w:t>
            </w:r>
          </w:p>
        </w:tc>
        <w:tc>
          <w:tcPr>
            <w:tcW w:w="557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工作任务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96"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组长</w:t>
            </w:r>
          </w:p>
        </w:tc>
        <w:tc>
          <w:tcPr>
            <w:tcW w:w="163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default" w:ascii="Times New Roman" w:hAnsi="Times New Roman" w:eastAsia="仿宋" w:cs="Times New Roman"/>
                <w:color w:val="auto"/>
                <w:sz w:val="24"/>
                <w:szCs w:val="24"/>
                <w:lang w:eastAsia="zh-CN"/>
              </w:rPr>
            </w:pPr>
            <w:r>
              <w:rPr>
                <w:rFonts w:hint="eastAsia" w:eastAsia="仿宋" w:cs="Times New Roman"/>
                <w:color w:val="auto"/>
                <w:sz w:val="24"/>
                <w:szCs w:val="24"/>
                <w:lang w:eastAsia="zh-CN"/>
              </w:rPr>
              <w:t>席晓峰</w:t>
            </w:r>
          </w:p>
        </w:tc>
        <w:tc>
          <w:tcPr>
            <w:tcW w:w="557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把握预案（包括风险评估报告、应急资源调查报告、应急预案文本及编制说明）的编制思路及方向，协调所涉及的部门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96"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成员</w:t>
            </w:r>
          </w:p>
        </w:tc>
        <w:tc>
          <w:tcPr>
            <w:tcW w:w="163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default" w:ascii="Times New Roman" w:hAnsi="Times New Roman" w:eastAsia="仿宋" w:cs="Times New Roman"/>
                <w:color w:val="auto"/>
                <w:sz w:val="24"/>
                <w:szCs w:val="24"/>
              </w:rPr>
            </w:pPr>
            <w:r>
              <w:rPr>
                <w:rFonts w:hint="eastAsia" w:eastAsia="仿宋" w:cs="Times New Roman"/>
                <w:color w:val="auto"/>
                <w:sz w:val="24"/>
                <w:szCs w:val="24"/>
                <w:lang w:eastAsia="zh-CN"/>
              </w:rPr>
              <w:t>任亚丽</w:t>
            </w:r>
          </w:p>
        </w:tc>
        <w:tc>
          <w:tcPr>
            <w:tcW w:w="557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编制风险评估报告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trPr>
        <w:tc>
          <w:tcPr>
            <w:tcW w:w="1296"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成员</w:t>
            </w:r>
          </w:p>
        </w:tc>
        <w:tc>
          <w:tcPr>
            <w:tcW w:w="163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eastAsia" w:ascii="Times New Roman" w:hAnsi="Times New Roman" w:eastAsia="仿宋" w:cs="Times New Roman"/>
                <w:color w:val="auto"/>
                <w:sz w:val="24"/>
                <w:szCs w:val="24"/>
                <w:lang w:eastAsia="zh-CN"/>
              </w:rPr>
            </w:pPr>
            <w:r>
              <w:rPr>
                <w:rFonts w:hint="eastAsia" w:eastAsia="仿宋" w:cs="Times New Roman"/>
                <w:color w:val="auto"/>
                <w:sz w:val="24"/>
                <w:szCs w:val="24"/>
                <w:lang w:eastAsia="zh-CN"/>
              </w:rPr>
              <w:t>任亚丽</w:t>
            </w:r>
          </w:p>
        </w:tc>
        <w:tc>
          <w:tcPr>
            <w:tcW w:w="557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编制应急预案文本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96"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成员</w:t>
            </w:r>
          </w:p>
        </w:tc>
        <w:tc>
          <w:tcPr>
            <w:tcW w:w="163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eastAsia" w:ascii="Times New Roman" w:hAnsi="Times New Roman" w:eastAsia="仿宋" w:cs="Times New Roman"/>
                <w:color w:val="auto"/>
                <w:sz w:val="24"/>
                <w:szCs w:val="24"/>
                <w:lang w:eastAsia="zh-CN"/>
              </w:rPr>
            </w:pPr>
            <w:r>
              <w:rPr>
                <w:rFonts w:hint="eastAsia" w:eastAsia="仿宋" w:cs="Times New Roman"/>
                <w:color w:val="auto"/>
                <w:sz w:val="24"/>
                <w:szCs w:val="24"/>
                <w:lang w:eastAsia="zh-CN"/>
              </w:rPr>
              <w:t>任亚丽</w:t>
            </w:r>
          </w:p>
        </w:tc>
        <w:tc>
          <w:tcPr>
            <w:tcW w:w="557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编制应急资源调查报告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96"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成员</w:t>
            </w:r>
          </w:p>
        </w:tc>
        <w:tc>
          <w:tcPr>
            <w:tcW w:w="163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eastAsia" w:ascii="Times New Roman" w:hAnsi="Times New Roman" w:eastAsia="仿宋" w:cs="Times New Roman"/>
                <w:color w:val="auto"/>
                <w:sz w:val="24"/>
                <w:szCs w:val="24"/>
                <w:lang w:eastAsia="zh-CN"/>
              </w:rPr>
            </w:pPr>
            <w:r>
              <w:rPr>
                <w:rFonts w:hint="eastAsia" w:eastAsia="仿宋" w:cs="Times New Roman"/>
                <w:color w:val="auto"/>
                <w:sz w:val="24"/>
                <w:szCs w:val="24"/>
                <w:lang w:eastAsia="zh-CN"/>
              </w:rPr>
              <w:t>席晓峰</w:t>
            </w:r>
          </w:p>
        </w:tc>
        <w:tc>
          <w:tcPr>
            <w:tcW w:w="557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outlineLvl w:val="9"/>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编制说明、告知会、应急互助协议签订等</w:t>
            </w:r>
          </w:p>
        </w:tc>
      </w:tr>
    </w:tbl>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开展环境风险评估和应急资源调查。环境风险评估包括：分析各类事故衍化规律、自然灾害影响程度，识别环境危害因素，分析与周边可能受影响的居民、单位、区域环境的关系，构建突发环境事件及其后果情景，进行风险评估。应急资源调查包括：调查公司第一时间可调用的环境应急队伍、装备、物资、场所等应急资源状况和可请求援助或协议援助的应急资源状况，分析现有应急资源是否满足公司若发生突发环境事件后的应急要求。</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（三）编制环境应急预案（包括风险评估报告、应急资源调查报告、应急预案文本）。</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风险评估报告主要通过对公司主要</w:t>
      </w:r>
      <w:r>
        <w:rPr>
          <w:rFonts w:hint="eastAsia" w:ascii="仿宋" w:hAnsi="仿宋" w:eastAsia="仿宋" w:cs="仿宋"/>
          <w:sz w:val="28"/>
          <w:szCs w:val="28"/>
          <w:lang w:eastAsia="zh-CN"/>
        </w:rPr>
        <w:t>存在的</w:t>
      </w:r>
      <w:r>
        <w:rPr>
          <w:rFonts w:hint="eastAsia" w:ascii="仿宋" w:hAnsi="仿宋" w:eastAsia="仿宋" w:cs="仿宋"/>
          <w:sz w:val="28"/>
          <w:szCs w:val="28"/>
        </w:rPr>
        <w:t>潜在危险性</w:t>
      </w:r>
      <w:r>
        <w:rPr>
          <w:rFonts w:hint="eastAsia" w:ascii="仿宋" w:hAnsi="仿宋" w:eastAsia="仿宋" w:cs="仿宋"/>
          <w:sz w:val="28"/>
          <w:szCs w:val="28"/>
          <w:lang w:eastAsia="zh-CN"/>
        </w:rPr>
        <w:t>的</w:t>
      </w:r>
      <w:r>
        <w:rPr>
          <w:rFonts w:hint="eastAsia" w:ascii="仿宋" w:hAnsi="仿宋" w:eastAsia="仿宋" w:cs="仿宋"/>
          <w:sz w:val="28"/>
          <w:szCs w:val="28"/>
        </w:rPr>
        <w:t>识别，对可能发生的突发环境事件及其后果进行分析，对现有的管理制度、防控和应急设施进行分析，比较得出现有环境风险防控与应急措施的差距，制定完善风险防控和应急措施的实施计划，最终对公司的环境风险等级进行表征。</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应急资源调查报告主要对公司现有的应急保障措施进行调查，具体包括以下几个方面：</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（1）通信与信息保障。明确了与应急工作相关联的单位或人员通信联络方式和方法，建立了通信信息系统及维护方案，确保应急期间信息畅通。</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应急队伍保障。建立了相应的应急组织机构，并明确事故状态下各级人员和专业处置队伍的具体职责和任务，以便在发生突发环境事件时，在统一指挥下，快速、有序、高效的展开应急处置行动，以尽快处理事故，将事故的危害降到最低。</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（3）应急物资及装备保障。明确了应急处置需要使用的应急物资和装备的类型、数量、存放位置、管理员及其联系方式等内容。</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（4）经费及其他保障。</w:t>
      </w:r>
    </w:p>
    <w:p>
      <w:pPr>
        <w:adjustRightInd w:val="0"/>
        <w:snapToGrid w:val="0"/>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应急预案文本包括总则、企业概况、应急组织体系、环境风险分析、预防和预警、应急处置、后期处置、应急保障、监督与管理和附则</w:t>
      </w:r>
      <w:r>
        <w:rPr>
          <w:rFonts w:hint="eastAsia" w:ascii="仿宋" w:hAnsi="仿宋" w:eastAsia="仿宋" w:cs="仿宋"/>
          <w:sz w:val="28"/>
          <w:szCs w:val="28"/>
          <w:lang w:eastAsia="zh-CN"/>
        </w:rPr>
        <w:t>等。</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其中：总则部分包括编制目的、编制依据、适用范围、应急预案体系及工作原则。</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企业概况</w:t>
      </w:r>
      <w:r>
        <w:rPr>
          <w:rFonts w:hint="eastAsia" w:ascii="仿宋" w:hAnsi="仿宋" w:eastAsia="仿宋" w:cs="仿宋"/>
          <w:sz w:val="28"/>
          <w:szCs w:val="28"/>
        </w:rPr>
        <w:t>包括公司及生产过程的基本介绍，公司货品基本情况、周边环境及风险受体的基本情况。</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组织机构及职责建立了由公司高层以及各部门组成的环境突发事故应急救援体系，明确了各专门机构应该承担的职责，确保紧急状态下应急救援工作的有序开展，使各项救援任务真正落到实处。</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环境风险</w:t>
      </w:r>
      <w:r>
        <w:rPr>
          <w:rFonts w:hint="eastAsia" w:ascii="仿宋" w:hAnsi="仿宋" w:eastAsia="仿宋" w:cs="仿宋"/>
          <w:sz w:val="28"/>
          <w:szCs w:val="28"/>
          <w:lang w:eastAsia="zh-CN"/>
        </w:rPr>
        <w:t>分析</w:t>
      </w:r>
      <w:r>
        <w:rPr>
          <w:rFonts w:hint="eastAsia" w:ascii="仿宋" w:hAnsi="仿宋" w:eastAsia="仿宋" w:cs="仿宋"/>
          <w:sz w:val="28"/>
          <w:szCs w:val="28"/>
        </w:rPr>
        <w:t>主要包括物质的危险性识别、生产及储存过程潜在危险性识别、事故调查分析以及货品泄漏爆炸环境影响分析。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预防与预警</w:t>
      </w:r>
      <w:r>
        <w:rPr>
          <w:rFonts w:hint="eastAsia" w:ascii="仿宋" w:hAnsi="仿宋" w:eastAsia="仿宋" w:cs="仿宋"/>
          <w:sz w:val="28"/>
          <w:szCs w:val="28"/>
        </w:rPr>
        <w:t>本着预防为主的原则，对重大危险源的监控提出明确要求，对事故报告、预警级别的确定与发布进行规范。</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应急处置包括</w:t>
      </w:r>
      <w:r>
        <w:rPr>
          <w:rFonts w:hint="eastAsia" w:ascii="仿宋" w:hAnsi="仿宋" w:eastAsia="仿宋" w:cs="仿宋"/>
          <w:sz w:val="28"/>
          <w:szCs w:val="28"/>
          <w:lang w:eastAsia="zh-CN"/>
        </w:rPr>
        <w:t>应急预案的启动</w:t>
      </w:r>
      <w:r>
        <w:rPr>
          <w:rFonts w:hint="eastAsia" w:ascii="仿宋" w:hAnsi="仿宋" w:eastAsia="仿宋" w:cs="仿宋"/>
          <w:sz w:val="28"/>
          <w:szCs w:val="28"/>
        </w:rPr>
        <w:t>、先期紧急处置、分级响应及有关专项预案的响应等。对应急救援人员安全防护、公众动员与征用、信息发布、扩大响应及应急结束等环节做出了相应规定。</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后期处置指公司相关部门组织突发环境事件的善后处置工作。尽快消除事故影响，安抚受害及受影响人员，做好疫病防治和环境污染消除工作，尽快恢复正常生产秩序和社会秩序。</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应急保障</w:t>
      </w:r>
      <w:r>
        <w:rPr>
          <w:rFonts w:hint="eastAsia" w:ascii="仿宋" w:hAnsi="仿宋" w:eastAsia="仿宋" w:cs="仿宋"/>
          <w:sz w:val="28"/>
          <w:szCs w:val="28"/>
        </w:rPr>
        <w:t>建立了预案实施的保障体系，主要包括信息通讯、物资运输、人力资源、医疗卫生、应急财务、治安维护、紧急避难等的保障。</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（四）评审环境应急预案。公司组织专家对环境应急预案进行评审。评审专家包括环境应急预案涉及的相关政府管理部门人员、相关行业协会代表、具有相关领域经验的人员等。</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（五）签署发布环境应急预案。环境应急预案经公司相关会议审议，由公司主要负责人签署发布。</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（六）培训及演练。公司定期对应急处置队员进行专业应急处置培训，对公司员工进行基本知识培训，同时公司依托政府部门定期向周围环境风险受体宣贯应急知识。</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公司定期组织公司全员进行突发环境事件应急演习，现场处置方案演练，桌面演练和功能演练。</w:t>
      </w:r>
    </w:p>
    <w:p>
      <w:pPr>
        <w:pStyle w:val="3"/>
        <w:numPr>
          <w:ilvl w:val="0"/>
          <w:numId w:val="0"/>
        </w:numPr>
        <w:tabs>
          <w:tab w:val="left" w:pos="5790"/>
        </w:tabs>
        <w:topLinePunct/>
        <w:spacing w:line="360" w:lineRule="auto"/>
        <w:ind w:firstLine="643" w:firstLineChars="200"/>
        <w:jc w:val="left"/>
        <w:rPr>
          <w:rFonts w:hint="eastAsia" w:ascii="仿宋" w:hAnsi="仿宋" w:eastAsia="仿宋" w:cs="仿宋"/>
          <w:b/>
          <w:sz w:val="32"/>
          <w:szCs w:val="32"/>
        </w:rPr>
      </w:pPr>
      <w:bookmarkStart w:id="6" w:name="_Toc25656"/>
      <w:r>
        <w:rPr>
          <w:rFonts w:hint="eastAsia" w:ascii="仿宋" w:hAnsi="仿宋" w:eastAsia="仿宋" w:cs="仿宋"/>
          <w:b/>
          <w:sz w:val="32"/>
          <w:szCs w:val="32"/>
        </w:rPr>
        <w:t>2 重点内容说明</w:t>
      </w:r>
      <w:bookmarkEnd w:id="6"/>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预案按照《企业事业单位突发环境事件应急预案备案管理办法（试行）》（环发[2015]4号）要求，重点说明可能的突发环境事件情景下需要采取的处置措施、向可能受影响的居民和单位通报的内容与方式、向环境保护主管部门和有关部门报告的内容与方式，以及与政府预案的衔接方式，公司第一时间可调用的环境应急队伍、装备、物资、场所等应急资源状况和可请求援助或协议援助的应急资源状况。</w:t>
      </w:r>
    </w:p>
    <w:p>
      <w:pPr>
        <w:pStyle w:val="3"/>
        <w:numPr>
          <w:ilvl w:val="0"/>
          <w:numId w:val="0"/>
        </w:numPr>
        <w:tabs>
          <w:tab w:val="left" w:pos="5790"/>
        </w:tabs>
        <w:topLinePunct/>
        <w:spacing w:line="360" w:lineRule="auto"/>
        <w:ind w:firstLine="643" w:firstLineChars="200"/>
        <w:jc w:val="left"/>
        <w:rPr>
          <w:rFonts w:hint="eastAsia" w:ascii="仿宋" w:hAnsi="仿宋" w:eastAsia="仿宋" w:cs="仿宋"/>
          <w:b/>
          <w:sz w:val="32"/>
          <w:szCs w:val="32"/>
        </w:rPr>
      </w:pPr>
      <w:bookmarkStart w:id="7" w:name="_Toc1207"/>
      <w:r>
        <w:rPr>
          <w:rFonts w:hint="eastAsia" w:ascii="仿宋" w:hAnsi="仿宋" w:eastAsia="仿宋" w:cs="仿宋"/>
          <w:b/>
          <w:sz w:val="32"/>
          <w:szCs w:val="32"/>
        </w:rPr>
        <w:t>3 征求意见及采纳情况说明</w:t>
      </w:r>
      <w:bookmarkEnd w:id="7"/>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预案编制过程中征求员工及可能受影响的临近单位的意见。并向临近单位说明了本公司存在危险源及应对措施。周边单位代表提出了对我公司突发环境事件应急预案编制工作的建议及意见，建议我公司要做好运营期的环境污染认识，重视环境保护，落实各项环保措施，加强运营期的环境管理，减轻对周围环境的影响，做好事故时现场救援工作。若发生事故时，周边单位愿意给予本单位公司人员疏散、撤离、救助等方面的帮助，并提供其它相应支持。</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我公司根据公众对突发环境事件应急预案的建议，做出承诺，将全部采纳公众意见，做好突发环境事件应急预案的编制工作。</w:t>
      </w:r>
    </w:p>
    <w:p>
      <w:pPr>
        <w:pStyle w:val="3"/>
        <w:numPr>
          <w:ilvl w:val="0"/>
          <w:numId w:val="0"/>
        </w:numPr>
        <w:tabs>
          <w:tab w:val="left" w:pos="5790"/>
        </w:tabs>
        <w:topLinePunct/>
        <w:spacing w:line="360" w:lineRule="auto"/>
        <w:ind w:firstLine="643" w:firstLineChars="200"/>
        <w:jc w:val="left"/>
        <w:rPr>
          <w:rFonts w:hint="default" w:ascii="Times New Roman" w:hAnsi="Times New Roman" w:cs="Times New Roman" w:eastAsiaTheme="minorEastAsia"/>
          <w:b/>
          <w:sz w:val="30"/>
          <w:szCs w:val="30"/>
        </w:rPr>
      </w:pPr>
      <w:bookmarkStart w:id="8" w:name="_Toc6406"/>
      <w:r>
        <w:rPr>
          <w:rFonts w:hint="eastAsia" w:ascii="仿宋" w:hAnsi="仿宋" w:eastAsia="仿宋" w:cs="仿宋"/>
          <w:b/>
          <w:sz w:val="32"/>
          <w:szCs w:val="32"/>
        </w:rPr>
        <w:t>4 评审情况说明</w:t>
      </w:r>
      <w:bookmarkEnd w:id="8"/>
    </w:p>
    <w:p>
      <w:pPr>
        <w:shd w:val="clear"/>
        <w:adjustRightInd w:val="0"/>
        <w:snapToGrid w:val="0"/>
        <w:spacing w:line="360" w:lineRule="auto"/>
        <w:ind w:firstLine="560" w:firstLineChars="200"/>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2018年</w:t>
      </w:r>
      <w:r>
        <w:rPr>
          <w:rFonts w:hint="eastAsia" w:ascii="仿宋" w:hAnsi="仿宋" w:eastAsia="仿宋" w:cs="仿宋"/>
          <w:color w:val="auto"/>
          <w:sz w:val="28"/>
          <w:szCs w:val="28"/>
          <w:highlight w:val="none"/>
          <w:shd w:val="clear" w:color="auto" w:fill="auto"/>
          <w:lang w:val="en-US" w:eastAsia="zh-CN"/>
        </w:rPr>
        <w:t>12</w:t>
      </w:r>
      <w:r>
        <w:rPr>
          <w:rFonts w:hint="eastAsia" w:ascii="仿宋" w:hAnsi="仿宋" w:eastAsia="仿宋" w:cs="仿宋"/>
          <w:color w:val="auto"/>
          <w:sz w:val="28"/>
          <w:szCs w:val="28"/>
          <w:highlight w:val="none"/>
          <w:shd w:val="clear" w:color="auto" w:fill="auto"/>
        </w:rPr>
        <w:t>月</w:t>
      </w:r>
      <w:r>
        <w:rPr>
          <w:rFonts w:hint="eastAsia" w:ascii="仿宋" w:hAnsi="仿宋" w:eastAsia="仿宋" w:cs="仿宋"/>
          <w:color w:val="auto"/>
          <w:sz w:val="28"/>
          <w:szCs w:val="28"/>
          <w:highlight w:val="none"/>
          <w:shd w:val="clear" w:color="auto" w:fill="auto"/>
          <w:lang w:val="en-US" w:eastAsia="zh-CN"/>
        </w:rPr>
        <w:t>5</w:t>
      </w:r>
      <w:r>
        <w:rPr>
          <w:rFonts w:hint="eastAsia" w:ascii="仿宋" w:hAnsi="仿宋" w:eastAsia="仿宋" w:cs="仿宋"/>
          <w:color w:val="auto"/>
          <w:sz w:val="28"/>
          <w:szCs w:val="28"/>
          <w:highlight w:val="none"/>
          <w:shd w:val="clear" w:color="auto" w:fill="auto"/>
        </w:rPr>
        <w:t>日我公司各部门主要负责人对突发环境事件应急预案进行了内部评审，并提出了个人意见及建议。</w:t>
      </w:r>
    </w:p>
    <w:p>
      <w:pPr>
        <w:shd w:val="clear"/>
        <w:adjustRightInd w:val="0"/>
        <w:snapToGrid w:val="0"/>
        <w:spacing w:line="360" w:lineRule="auto"/>
        <w:ind w:firstLine="560" w:firstLineChars="200"/>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2018年</w:t>
      </w:r>
      <w:r>
        <w:rPr>
          <w:rFonts w:hint="eastAsia" w:ascii="仿宋" w:hAnsi="仿宋" w:eastAsia="仿宋" w:cs="仿宋"/>
          <w:color w:val="auto"/>
          <w:sz w:val="28"/>
          <w:szCs w:val="28"/>
          <w:highlight w:val="none"/>
          <w:shd w:val="clear" w:color="auto" w:fill="auto"/>
          <w:lang w:val="en-US" w:eastAsia="zh-CN"/>
        </w:rPr>
        <w:t>12</w:t>
      </w:r>
      <w:r>
        <w:rPr>
          <w:rFonts w:hint="eastAsia" w:ascii="仿宋" w:hAnsi="仿宋" w:eastAsia="仿宋" w:cs="仿宋"/>
          <w:color w:val="auto"/>
          <w:sz w:val="28"/>
          <w:szCs w:val="28"/>
          <w:highlight w:val="none"/>
          <w:shd w:val="clear" w:color="auto" w:fill="auto"/>
        </w:rPr>
        <w:t>月</w:t>
      </w:r>
      <w:r>
        <w:rPr>
          <w:rFonts w:hint="eastAsia" w:ascii="仿宋" w:hAnsi="仿宋" w:eastAsia="仿宋" w:cs="仿宋"/>
          <w:color w:val="auto"/>
          <w:sz w:val="28"/>
          <w:szCs w:val="28"/>
          <w:highlight w:val="none"/>
          <w:shd w:val="clear" w:color="auto" w:fill="auto"/>
          <w:lang w:val="en-US" w:eastAsia="zh-CN"/>
        </w:rPr>
        <w:t>13</w:t>
      </w:r>
      <w:r>
        <w:rPr>
          <w:rFonts w:hint="eastAsia" w:ascii="仿宋" w:hAnsi="仿宋" w:eastAsia="仿宋" w:cs="仿宋"/>
          <w:color w:val="auto"/>
          <w:sz w:val="28"/>
          <w:szCs w:val="28"/>
          <w:highlight w:val="none"/>
          <w:shd w:val="clear" w:color="auto" w:fill="auto"/>
        </w:rPr>
        <w:t>日，我公司邀请</w:t>
      </w:r>
      <w:r>
        <w:rPr>
          <w:rFonts w:hint="eastAsia" w:ascii="仿宋" w:hAnsi="仿宋" w:eastAsia="仿宋" w:cs="仿宋"/>
          <w:color w:val="auto"/>
          <w:sz w:val="28"/>
          <w:szCs w:val="28"/>
          <w:highlight w:val="none"/>
          <w:shd w:val="clear" w:color="auto" w:fill="auto"/>
          <w:lang w:eastAsia="zh-CN"/>
        </w:rPr>
        <w:t>秦汉新城管委会</w:t>
      </w:r>
      <w:r>
        <w:rPr>
          <w:rFonts w:hint="eastAsia" w:ascii="仿宋" w:hAnsi="仿宋" w:eastAsia="仿宋" w:cs="仿宋"/>
          <w:color w:val="auto"/>
          <w:sz w:val="28"/>
          <w:szCs w:val="28"/>
          <w:highlight w:val="none"/>
          <w:shd w:val="clear" w:color="auto" w:fill="auto"/>
        </w:rPr>
        <w:t>及相关专家3人组成专家评估组，对我公司突发环境事件应急预案进行了技术评估，专家组审核通过并形成评估意见。</w:t>
      </w:r>
    </w:p>
    <w:p>
      <w:pPr>
        <w:shd w:val="clear"/>
        <w:adjustRightInd w:val="0"/>
        <w:snapToGrid w:val="0"/>
        <w:spacing w:line="360" w:lineRule="auto"/>
        <w:ind w:firstLine="560" w:firstLineChars="200"/>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rPr>
        <w:t>我公司突发环境事件应急预案修改完善后，自单位法人代表签字批准之日起实施</w:t>
      </w:r>
      <w:r>
        <w:rPr>
          <w:rFonts w:hint="eastAsia" w:ascii="仿宋" w:hAnsi="仿宋" w:eastAsia="仿宋" w:cs="仿宋"/>
          <w:color w:val="auto"/>
          <w:sz w:val="28"/>
          <w:szCs w:val="28"/>
          <w:highlight w:val="none"/>
          <w:shd w:val="clear" w:color="auto" w:fill="auto"/>
          <w:lang w:eastAsia="zh-CN"/>
        </w:rPr>
        <w:t>。</w:t>
      </w:r>
    </w:p>
    <w:p>
      <w:pPr>
        <w:rPr>
          <w:rFonts w:hint="eastAsia" w:ascii="仿宋" w:hAnsi="仿宋" w:eastAsia="仿宋" w:cs="仿宋"/>
          <w:sz w:val="28"/>
          <w:szCs w:val="28"/>
        </w:rPr>
      </w:pPr>
    </w:p>
    <w:sectPr>
      <w:headerReference r:id="rId3" w:type="default"/>
      <w:footerReference r:id="rId4" w:type="default"/>
      <w:pgSz w:w="11906" w:h="16838"/>
      <w:pgMar w:top="1440" w:right="1800" w:bottom="1440" w:left="1800" w:header="708" w:footer="708" w:gutter="0"/>
      <w:pgNumType w:start="1"/>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pict>
        <v:shape id="_x0000_s4098" o:spid="_x0000_s4098"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7"/>
                  <w:jc w:val="center"/>
                </w:pPr>
                <w:r>
                  <w:fldChar w:fldCharType="begin"/>
                </w:r>
                <w:r>
                  <w:instrText xml:space="preserve">PAGE   \* MERGEFORMAT</w:instrText>
                </w:r>
                <w:r>
                  <w:fldChar w:fldCharType="separate"/>
                </w:r>
                <w:r>
                  <w:rPr>
                    <w:lang w:val="zh-CN"/>
                  </w:rPr>
                  <w:t>1</w:t>
                </w:r>
                <w:r>
                  <w:rPr>
                    <w:lang w:val="zh-CN"/>
                  </w:rPr>
                  <w:fldChar w:fldCharType="end"/>
                </w:r>
              </w:p>
            </w:txbxContent>
          </v:textbox>
        </v:shape>
      </w:pic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8306"/>
      </w:tabs>
    </w:pPr>
    <w:r>
      <w:rPr>
        <w:rFonts w:hint="eastAsia"/>
      </w:rPr>
      <w:t>应急预案编制情况说明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030AA"/>
    <w:multiLevelType w:val="multilevel"/>
    <w:tmpl w:val="37F030AA"/>
    <w:lvl w:ilvl="0" w:tentative="0">
      <w:start w:val="1"/>
      <w:numFmt w:val="decimal"/>
      <w:pStyle w:val="3"/>
      <w:lvlText w:val="%1"/>
      <w:lvlJc w:val="left"/>
      <w:pPr>
        <w:ind w:left="432" w:hanging="432"/>
      </w:pPr>
    </w:lvl>
    <w:lvl w:ilvl="1" w:tentative="0">
      <w:start w:val="1"/>
      <w:numFmt w:val="decimal"/>
      <w:lvlText w:val="%1.%2"/>
      <w:lvlJc w:val="left"/>
      <w:pPr>
        <w:ind w:left="576" w:hanging="576"/>
      </w:pPr>
    </w:lvl>
    <w:lvl w:ilvl="2" w:tentative="0">
      <w:start w:val="1"/>
      <w:numFmt w:val="decimal"/>
      <w:lvlText w:val="%1.%2.%3"/>
      <w:lvlJc w:val="left"/>
      <w:pPr>
        <w:ind w:left="720" w:hanging="720"/>
      </w:pPr>
      <w:rPr>
        <w:color w:val="auto"/>
      </w:r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720"/>
  <w:drawingGridHorizontalSpacing w:val="105"/>
  <w:drawingGridVerticalSpacing w:val="156"/>
  <w:displayHorizontalDrawingGridEvery w:val="2"/>
  <w:displayVerticalDrawingGridEvery w:val="2"/>
  <w:characterSpacingControl w:val="doNotCompress"/>
  <w:hdrShapeDefaults>
    <o:shapelayout v:ext="edit">
      <o:idmap v:ext="edit" data="3,4"/>
    </o:shapelayout>
  </w:hdrShapeDefaults>
  <w:compat>
    <w:useFELayout/>
    <w:compatSetting w:name="compatibilityMode" w:uri="http://schemas.microsoft.com/office/word" w:val="12"/>
  </w:compat>
  <w:rsids>
    <w:rsidRoot w:val="00D31D50"/>
    <w:rsid w:val="00005057"/>
    <w:rsid w:val="0010786D"/>
    <w:rsid w:val="00113BDD"/>
    <w:rsid w:val="00183EA0"/>
    <w:rsid w:val="001857AE"/>
    <w:rsid w:val="00191FFF"/>
    <w:rsid w:val="00193F76"/>
    <w:rsid w:val="001D3734"/>
    <w:rsid w:val="002B65AE"/>
    <w:rsid w:val="00323B43"/>
    <w:rsid w:val="00325A46"/>
    <w:rsid w:val="00335B92"/>
    <w:rsid w:val="00382D8E"/>
    <w:rsid w:val="003D37D8"/>
    <w:rsid w:val="003E4852"/>
    <w:rsid w:val="00420CFC"/>
    <w:rsid w:val="0042518D"/>
    <w:rsid w:val="00426133"/>
    <w:rsid w:val="004358AB"/>
    <w:rsid w:val="00453066"/>
    <w:rsid w:val="005C6226"/>
    <w:rsid w:val="006B4626"/>
    <w:rsid w:val="007865CE"/>
    <w:rsid w:val="007A44CA"/>
    <w:rsid w:val="007B15D2"/>
    <w:rsid w:val="00801F7E"/>
    <w:rsid w:val="008919BA"/>
    <w:rsid w:val="008A1923"/>
    <w:rsid w:val="008B2FFC"/>
    <w:rsid w:val="008B7726"/>
    <w:rsid w:val="008D5B14"/>
    <w:rsid w:val="008D5D39"/>
    <w:rsid w:val="009615A5"/>
    <w:rsid w:val="00982FE1"/>
    <w:rsid w:val="009A2C2D"/>
    <w:rsid w:val="009C33A7"/>
    <w:rsid w:val="00A26EEE"/>
    <w:rsid w:val="00A33195"/>
    <w:rsid w:val="00A8399E"/>
    <w:rsid w:val="00A907C6"/>
    <w:rsid w:val="00AD0C90"/>
    <w:rsid w:val="00AD12D0"/>
    <w:rsid w:val="00AF4EEC"/>
    <w:rsid w:val="00B879FC"/>
    <w:rsid w:val="00B92A73"/>
    <w:rsid w:val="00BA1276"/>
    <w:rsid w:val="00CB5350"/>
    <w:rsid w:val="00CC288F"/>
    <w:rsid w:val="00CE4055"/>
    <w:rsid w:val="00CF1413"/>
    <w:rsid w:val="00D31D50"/>
    <w:rsid w:val="00DF6D82"/>
    <w:rsid w:val="00E07C5F"/>
    <w:rsid w:val="00E17D05"/>
    <w:rsid w:val="00E46630"/>
    <w:rsid w:val="00EC1397"/>
    <w:rsid w:val="00EC17C6"/>
    <w:rsid w:val="00F13E8E"/>
    <w:rsid w:val="00FC6083"/>
    <w:rsid w:val="03B26B62"/>
    <w:rsid w:val="0B462997"/>
    <w:rsid w:val="0C8522F8"/>
    <w:rsid w:val="0FAC36EA"/>
    <w:rsid w:val="10791287"/>
    <w:rsid w:val="14F43539"/>
    <w:rsid w:val="16535357"/>
    <w:rsid w:val="1A5369C4"/>
    <w:rsid w:val="1D2D3B16"/>
    <w:rsid w:val="1DCD4C92"/>
    <w:rsid w:val="1FCD15B9"/>
    <w:rsid w:val="21121ADA"/>
    <w:rsid w:val="2197666A"/>
    <w:rsid w:val="21B821F2"/>
    <w:rsid w:val="25B71848"/>
    <w:rsid w:val="2EE62D18"/>
    <w:rsid w:val="346602EC"/>
    <w:rsid w:val="36C569F7"/>
    <w:rsid w:val="37C74A36"/>
    <w:rsid w:val="39997D35"/>
    <w:rsid w:val="3E0C46D6"/>
    <w:rsid w:val="3E896D3A"/>
    <w:rsid w:val="42AC04F1"/>
    <w:rsid w:val="438A22BF"/>
    <w:rsid w:val="46280756"/>
    <w:rsid w:val="53450035"/>
    <w:rsid w:val="55232556"/>
    <w:rsid w:val="59472E0C"/>
    <w:rsid w:val="5CFA762F"/>
    <w:rsid w:val="66406C9B"/>
    <w:rsid w:val="68DA1F57"/>
    <w:rsid w:val="73A634E9"/>
    <w:rsid w:val="75E61F5E"/>
    <w:rsid w:val="789501FF"/>
    <w:rsid w:val="79263FAA"/>
    <w:rsid w:val="7A2D301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numPr>
        <w:ilvl w:val="0"/>
        <w:numId w:val="1"/>
      </w:numPr>
      <w:ind w:firstLine="0"/>
      <w:outlineLvl w:val="0"/>
    </w:pPr>
    <w:rPr>
      <w:rFonts w:eastAsia="黑体"/>
      <w:bCs/>
      <w:kern w:val="44"/>
      <w:sz w:val="30"/>
      <w:szCs w:val="44"/>
    </w:rPr>
  </w:style>
  <w:style w:type="paragraph" w:styleId="2">
    <w:name w:val="heading 2"/>
    <w:basedOn w:val="1"/>
    <w:next w:val="1"/>
    <w:unhideWhenUsed/>
    <w:qFormat/>
    <w:uiPriority w:val="9"/>
    <w:pPr>
      <w:keepNext/>
      <w:keepLines/>
      <w:spacing w:before="120" w:line="360" w:lineRule="auto"/>
      <w:outlineLvl w:val="1"/>
    </w:pPr>
    <w:rPr>
      <w:rFonts w:ascii="Cambria" w:hAnsi="Cambria" w:eastAsia="黑体"/>
      <w:b/>
      <w:sz w:val="30"/>
      <w:szCs w:val="32"/>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19"/>
    <w:unhideWhenUsed/>
    <w:qFormat/>
    <w:uiPriority w:val="99"/>
    <w:rPr>
      <w:b/>
      <w:bCs/>
    </w:rPr>
  </w:style>
  <w:style w:type="paragraph" w:styleId="5">
    <w:name w:val="annotation text"/>
    <w:basedOn w:val="1"/>
    <w:link w:val="18"/>
    <w:unhideWhenUsed/>
    <w:qFormat/>
    <w:uiPriority w:val="99"/>
    <w:pPr>
      <w:jc w:val="left"/>
    </w:pPr>
  </w:style>
  <w:style w:type="paragraph" w:styleId="6">
    <w:name w:val="Balloon Text"/>
    <w:basedOn w:val="1"/>
    <w:link w:val="17"/>
    <w:unhideWhenUsed/>
    <w:qFormat/>
    <w:uiPriority w:val="99"/>
    <w:rPr>
      <w:sz w:val="18"/>
      <w:szCs w:val="18"/>
    </w:rPr>
  </w:style>
  <w:style w:type="paragraph" w:styleId="7">
    <w:name w:val="footer"/>
    <w:basedOn w:val="1"/>
    <w:link w:val="15"/>
    <w:unhideWhenUsed/>
    <w:qFormat/>
    <w:uiPriority w:val="99"/>
    <w:pPr>
      <w:widowControl/>
      <w:tabs>
        <w:tab w:val="center" w:pos="4153"/>
        <w:tab w:val="right" w:pos="8306"/>
      </w:tabs>
      <w:adjustRightInd w:val="0"/>
      <w:snapToGrid w:val="0"/>
      <w:spacing w:after="200"/>
      <w:jc w:val="left"/>
    </w:pPr>
    <w:rPr>
      <w:rFonts w:ascii="Tahoma" w:hAnsi="Tahoma" w:eastAsia="微软雅黑" w:cstheme="minorBidi"/>
      <w:kern w:val="0"/>
      <w:sz w:val="18"/>
      <w:szCs w:val="18"/>
    </w:rPr>
  </w:style>
  <w:style w:type="paragraph" w:styleId="8">
    <w:name w:val="header"/>
    <w:basedOn w:val="1"/>
    <w:link w:val="14"/>
    <w:unhideWhenUsed/>
    <w:qFormat/>
    <w:uiPriority w:val="99"/>
    <w:pPr>
      <w:widowControl/>
      <w:pBdr>
        <w:bottom w:val="single" w:color="auto" w:sz="6" w:space="1"/>
      </w:pBdr>
      <w:tabs>
        <w:tab w:val="center" w:pos="4153"/>
        <w:tab w:val="right" w:pos="8306"/>
      </w:tabs>
      <w:adjustRightInd w:val="0"/>
      <w:snapToGrid w:val="0"/>
      <w:spacing w:after="200"/>
      <w:jc w:val="center"/>
    </w:pPr>
    <w:rPr>
      <w:rFonts w:ascii="Tahoma" w:hAnsi="Tahoma" w:eastAsia="微软雅黑" w:cstheme="minorBidi"/>
      <w:kern w:val="0"/>
      <w:sz w:val="18"/>
      <w:szCs w:val="18"/>
    </w:rPr>
  </w:style>
  <w:style w:type="paragraph" w:styleId="9">
    <w:name w:val="toc 1"/>
    <w:basedOn w:val="1"/>
    <w:next w:val="1"/>
    <w:unhideWhenUsed/>
    <w:qFormat/>
    <w:uiPriority w:val="39"/>
  </w:style>
  <w:style w:type="paragraph" w:styleId="10">
    <w:name w:val="toc 2"/>
    <w:basedOn w:val="1"/>
    <w:next w:val="1"/>
    <w:qFormat/>
    <w:uiPriority w:val="0"/>
    <w:pPr>
      <w:adjustRightInd w:val="0"/>
      <w:snapToGrid w:val="0"/>
      <w:spacing w:line="0" w:lineRule="atLeast"/>
      <w:ind w:firstLine="660" w:firstLineChars="150"/>
      <w:jc w:val="center"/>
    </w:pPr>
    <w:rPr>
      <w:rFonts w:ascii="Times New Roman" w:hAnsi="Times New Roman" w:eastAsia="宋体" w:cs="Times New Roman"/>
      <w:szCs w:val="21"/>
    </w:rPr>
  </w:style>
  <w:style w:type="character" w:styleId="12">
    <w:name w:val="annotation reference"/>
    <w:basedOn w:val="11"/>
    <w:unhideWhenUsed/>
    <w:qFormat/>
    <w:uiPriority w:val="99"/>
    <w:rPr>
      <w:sz w:val="21"/>
      <w:szCs w:val="21"/>
    </w:rPr>
  </w:style>
  <w:style w:type="character" w:customStyle="1" w:styleId="14">
    <w:name w:val="页眉 Char"/>
    <w:basedOn w:val="11"/>
    <w:link w:val="8"/>
    <w:semiHidden/>
    <w:qFormat/>
    <w:uiPriority w:val="99"/>
    <w:rPr>
      <w:rFonts w:ascii="Tahoma" w:hAnsi="Tahoma"/>
      <w:sz w:val="18"/>
      <w:szCs w:val="18"/>
    </w:rPr>
  </w:style>
  <w:style w:type="character" w:customStyle="1" w:styleId="15">
    <w:name w:val="页脚 Char"/>
    <w:basedOn w:val="11"/>
    <w:link w:val="7"/>
    <w:semiHidden/>
    <w:qFormat/>
    <w:uiPriority w:val="99"/>
    <w:rPr>
      <w:rFonts w:ascii="Tahoma" w:hAnsi="Tahoma"/>
      <w:sz w:val="18"/>
      <w:szCs w:val="18"/>
    </w:rPr>
  </w:style>
  <w:style w:type="paragraph" w:customStyle="1" w:styleId="16">
    <w:name w:val="默认段落字体 Para Char Char Char Char"/>
    <w:basedOn w:val="1"/>
    <w:qFormat/>
    <w:uiPriority w:val="0"/>
  </w:style>
  <w:style w:type="character" w:customStyle="1" w:styleId="17">
    <w:name w:val="批注框文本 Char"/>
    <w:basedOn w:val="11"/>
    <w:link w:val="6"/>
    <w:semiHidden/>
    <w:qFormat/>
    <w:uiPriority w:val="99"/>
    <w:rPr>
      <w:rFonts w:ascii="Times New Roman" w:hAnsi="Times New Roman" w:eastAsia="宋体" w:cs="Times New Roman"/>
      <w:kern w:val="2"/>
      <w:sz w:val="18"/>
      <w:szCs w:val="18"/>
    </w:rPr>
  </w:style>
  <w:style w:type="character" w:customStyle="1" w:styleId="18">
    <w:name w:val="批注文字 Char"/>
    <w:basedOn w:val="11"/>
    <w:link w:val="5"/>
    <w:semiHidden/>
    <w:qFormat/>
    <w:uiPriority w:val="99"/>
    <w:rPr>
      <w:rFonts w:ascii="Times New Roman" w:hAnsi="Times New Roman" w:eastAsia="宋体" w:cs="Times New Roman"/>
      <w:kern w:val="2"/>
      <w:sz w:val="21"/>
      <w:szCs w:val="24"/>
    </w:rPr>
  </w:style>
  <w:style w:type="character" w:customStyle="1" w:styleId="19">
    <w:name w:val="批注主题 Char"/>
    <w:basedOn w:val="18"/>
    <w:link w:val="4"/>
    <w:semiHidden/>
    <w:qFormat/>
    <w:uiPriority w:val="99"/>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1076</Words>
  <Characters>1124</Characters>
  <Lines>8</Lines>
  <Paragraphs>2</Paragraphs>
  <TotalTime>15</TotalTime>
  <ScaleCrop>false</ScaleCrop>
  <LinksUpToDate>false</LinksUpToDate>
  <CharactersWithSpaces>1266</CharactersWithSpaces>
  <Application>WPS Office_11.1.0.8205_F1E327BC-269C-435d-A152-05C5408002CA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STRONG</cp:lastModifiedBy>
  <cp:lastPrinted>2018-12-19T00:51:45Z</cp:lastPrinted>
  <dcterms:modified xsi:type="dcterms:W3CDTF">2018-12-19T01:15:25Z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