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/>
          <w:lang w:eastAsia="zh-CN"/>
        </w:rPr>
      </w:pPr>
    </w:p>
    <w:p>
      <w:pPr>
        <w:jc w:val="center"/>
        <w:rPr>
          <w:rFonts w:hint="default" w:ascii="Times New Roman" w:hAnsi="Times New Roman" w:eastAsia="仿宋" w:cs="Times New Roman"/>
          <w:b/>
          <w:bCs/>
          <w:sz w:val="48"/>
          <w:szCs w:val="48"/>
          <w:lang w:eastAsia="zh-CN"/>
        </w:rPr>
      </w:pPr>
    </w:p>
    <w:p>
      <w:pPr>
        <w:jc w:val="center"/>
        <w:rPr>
          <w:rFonts w:hint="default" w:ascii="Times New Roman" w:hAnsi="Times New Roman" w:eastAsia="仿宋" w:cs="Times New Roman"/>
          <w:b/>
          <w:bCs/>
          <w:sz w:val="48"/>
          <w:szCs w:val="48"/>
          <w:lang w:eastAsia="zh-CN"/>
        </w:rPr>
      </w:pPr>
    </w:p>
    <w:p>
      <w:pPr>
        <w:jc w:val="center"/>
        <w:rPr>
          <w:rFonts w:hint="default" w:ascii="Times New Roman" w:hAnsi="Times New Roman" w:eastAsia="仿宋" w:cs="Times New Roman"/>
          <w:b/>
          <w:bCs/>
          <w:sz w:val="48"/>
          <w:szCs w:val="48"/>
        </w:rPr>
      </w:pPr>
      <w:r>
        <w:rPr>
          <w:rFonts w:hint="eastAsia" w:ascii="Times New Roman" w:hAnsi="Times New Roman" w:eastAsia="仿宋" w:cs="Times New Roman"/>
          <w:b/>
          <w:bCs/>
          <w:sz w:val="48"/>
          <w:szCs w:val="4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b/>
          <w:bCs/>
          <w:sz w:val="48"/>
          <w:szCs w:val="48"/>
          <w:lang w:val="en-US" w:eastAsia="zh-CN"/>
        </w:rPr>
        <w:t>加油站</w:t>
      </w:r>
    </w:p>
    <w:p>
      <w:pPr>
        <w:jc w:val="center"/>
        <w:rPr>
          <w:rFonts w:hint="default"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48"/>
          <w:szCs w:val="48"/>
        </w:rPr>
        <w:t>环境</w:t>
      </w:r>
      <w:r>
        <w:rPr>
          <w:rFonts w:hint="default" w:ascii="Times New Roman" w:hAnsi="Times New Roman" w:eastAsia="仿宋" w:cs="Times New Roman"/>
          <w:b/>
          <w:bCs/>
          <w:sz w:val="48"/>
          <w:szCs w:val="48"/>
          <w:lang w:eastAsia="zh-CN"/>
        </w:rPr>
        <w:t>应急资源调查报告</w:t>
      </w: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pStyle w:val="2"/>
        <w:rPr>
          <w:rFonts w:hint="default"/>
        </w:rPr>
      </w:pPr>
    </w:p>
    <w:p>
      <w:pPr>
        <w:jc w:val="center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jc w:val="center"/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  <w:t>延长壳牌石油有限公司</w:t>
      </w:r>
    </w:p>
    <w:p>
      <w:pPr>
        <w:jc w:val="center"/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〇一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月</w:t>
      </w:r>
    </w:p>
    <w:p>
      <w:pPr>
        <w:pStyle w:val="9"/>
        <w:tabs>
          <w:tab w:val="right" w:leader="dot" w:pos="8306"/>
        </w:tabs>
        <w:jc w:val="center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  <w:t>目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  <w:t>录</w:t>
      </w:r>
    </w:p>
    <w:p>
      <w:pPr>
        <w:pStyle w:val="9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TOC \o "1-3" \h \u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_Toc29150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  <w:highlight w:val="none"/>
          <w:lang w:val="en-US"/>
        </w:rPr>
        <w:t>1.环境应急资源调查工作的目的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_Toc29150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_Toc8772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  <w:lang w:val="en-US" w:eastAsia="zh-CN"/>
        </w:rPr>
        <w:t>2.加油站环境应急救援工作的开展情况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_Toc8772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_Toc29215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2.1认真编制切实可行的突发环境事件应急预案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_Toc29215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_Toc17307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2.2</w:t>
      </w:r>
      <w:r>
        <w:rPr>
          <w:rFonts w:hint="default" w:ascii="Times New Roman" w:hAnsi="Times New Roman" w:eastAsia="仿宋" w:cs="Times New Roman"/>
          <w:bCs/>
          <w:sz w:val="28"/>
          <w:szCs w:val="28"/>
          <w:lang w:val="en-US" w:eastAsia="zh-CN"/>
        </w:rPr>
        <w:t>应急资金上的投入</w:t>
      </w:r>
      <w:bookmarkStart w:id="49" w:name="_GoBack"/>
      <w:bookmarkEnd w:id="49"/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_Toc17307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_Toc8045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2.3强化应急救援演练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_Toc8045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_Toc8408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2.4深入开展应急知识宣传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_Toc8408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_Toc3306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  <w:lang w:val="en-US" w:eastAsia="zh-CN"/>
        </w:rPr>
        <w:t>3.存在的问题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_Toc3306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_Toc10986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3.1应急管理体制工作的诸多方面不够适应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_Toc10986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_Toc20659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3.2救援力量的不适应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_Toc20659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_Toc11430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  <w:lang w:val="en-US" w:eastAsia="zh-CN"/>
        </w:rPr>
        <w:t>4.公司加油站内部救援资源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_Toc11430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_Toc2774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4.1预案的制定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_Toc2774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_Toc19554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4.2组织体系的建立及职责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_Toc19554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_Toc21486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  <w:lang w:val="en-US" w:eastAsia="zh-CN"/>
        </w:rPr>
        <w:t>4.3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应急保障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_Toc21486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8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_Toc25726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5.外部救援资源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_Toc25726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_Toc27671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5.1外部救援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_Toc27671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_Toc18601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5.2专职队伍救援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_Toc18601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10"/>
        <w:tabs>
          <w:tab w:val="right" w:leader="dot" w:pos="8306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_Toc22672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5.3应急救援装备、物资、药品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_Toc22672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\l _Toc30967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bCs/>
          <w:sz w:val="28"/>
          <w:szCs w:val="28"/>
          <w:lang w:val="en-US" w:eastAsia="zh-CN"/>
        </w:rPr>
        <w:t>6.应急资源调查的结论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PAGEREF _Toc30967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13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</w:p>
    <w:p>
      <w:pPr>
        <w:pStyle w:val="3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szCs w:val="28"/>
        </w:rPr>
        <w:fldChar w:fldCharType="end"/>
      </w:r>
    </w:p>
    <w:p>
      <w:pPr>
        <w:rPr>
          <w:rFonts w:hint="default" w:ascii="Times New Roman" w:hAnsi="Times New Roman" w:eastAsia="仿宋" w:cs="Times New Roman"/>
        </w:rPr>
      </w:pPr>
    </w:p>
    <w:p>
      <w:pPr>
        <w:pStyle w:val="3"/>
        <w:rPr>
          <w:rFonts w:hint="default" w:ascii="Times New Roman" w:hAnsi="Times New Roman" w:eastAsia="仿宋" w:cs="Times New Roman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3"/>
        <w:tabs>
          <w:tab w:val="left" w:pos="5790"/>
        </w:tabs>
        <w:spacing w:before="0" w:after="0" w:line="360" w:lineRule="auto"/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lang w:val="en-US"/>
        </w:rPr>
      </w:pPr>
      <w:bookmarkStart w:id="0" w:name="_Toc29150"/>
      <w:r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lang w:val="en-US"/>
        </w:rPr>
        <w:t>1.环境应急资源调查工作的目的</w:t>
      </w:r>
      <w:bookmarkEnd w:id="0"/>
    </w:p>
    <w:p>
      <w:pPr>
        <w:spacing w:line="360" w:lineRule="auto"/>
        <w:ind w:firstLine="56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 w:eastAsia="zh-CN"/>
        </w:rPr>
        <w:t>在任何企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惟一手段。</w:t>
      </w:r>
    </w:p>
    <w:p>
      <w:pPr>
        <w:spacing w:line="360" w:lineRule="auto"/>
        <w:ind w:firstLine="56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 w:eastAsia="zh-CN"/>
        </w:rPr>
        <w:t>在本</w:t>
      </w:r>
      <w:r>
        <w:rPr>
          <w:rFonts w:hint="eastAsia" w:ascii="Times New Roman" w:hAnsi="Times New Roman" w:eastAsia="仿宋" w:cs="Times New Roman"/>
          <w:color w:val="auto"/>
          <w:kern w:val="2"/>
          <w:sz w:val="28"/>
          <w:szCs w:val="28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 w:eastAsia="zh-CN"/>
        </w:rPr>
        <w:t>突发环境事故后能</w:t>
      </w:r>
      <w:r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/>
        </w:rPr>
        <w:t>迅速</w:t>
      </w:r>
      <w:r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2"/>
          <w:sz w:val="28"/>
          <w:szCs w:val="28"/>
          <w:lang w:val="en-US"/>
        </w:rPr>
        <w:t>有序有效地开展应急处置行动，阻止和控制污染物向周边环境的无序排放，最大可能避免对公共环境(大气、水体)造成的污染冲击。为了预防和减少突发环境事件的发生，控制、减轻和消除突发事件引起的严重社会危害，规范突发事件应对活动，保护人民生命财产安全，维护国家安全、公共安全、环境安全和社会秩序，据此特编制本环境应急资源调查报告。</w:t>
      </w:r>
    </w:p>
    <w:p>
      <w:pPr>
        <w:pStyle w:val="3"/>
        <w:tabs>
          <w:tab w:val="left" w:pos="5790"/>
        </w:tabs>
        <w:spacing w:before="0" w:after="0" w:line="360" w:lineRule="auto"/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</w:pPr>
      <w:bookmarkStart w:id="1" w:name="_Toc8772"/>
      <w:r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2.加油站环境应急救援工作的开展情况</w:t>
      </w:r>
      <w:bookmarkEnd w:id="1"/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2" w:name="_Toc29215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2.1认真编制切实可行的突发环境事件应急预案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4"/>
          <w:shd w:val="clear" w:color="FFFFFF" w:fill="D9D9D9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/>
        </w:rPr>
        <w:t>成立了应急预案编制小组，为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本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/>
        </w:rPr>
        <w:t>加油站安全生产应急救援工作提供了有力的技术支持和专业指导。</w:t>
      </w:r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  <w:lang w:val="en-US" w:eastAsia="zh-CN"/>
        </w:rPr>
      </w:pPr>
      <w:bookmarkStart w:id="3" w:name="_Toc17307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2.2</w:t>
      </w:r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  <w:lang w:val="en-US" w:eastAsia="zh-CN"/>
        </w:rPr>
        <w:t>应急资金上的投入</w:t>
      </w:r>
      <w:bookmarkEnd w:id="3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加油站购置了灭火器、灭火毯、消防沙等应急设施设备。按照站区实际经营情况，对于应急资金投入逐步增加，保障资助金投入，满足实际需要。</w:t>
      </w:r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4" w:name="_Toc8045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2.3强化应急救援演练</w:t>
      </w:r>
      <w:bookmarkEnd w:id="4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为了提高应对突发事件的处置能力，定期组织演练活动。要求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加油站区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全部人员参加演练，检验预案，锻炼队伍，有效地提升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各级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应急处理能力。</w:t>
      </w:r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5" w:name="_Toc8408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2.4深入开展应急知识宣传</w:t>
      </w:r>
      <w:bookmarkEnd w:id="5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  <w:sectPr>
          <w:footerReference r:id="rId8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为切实提高员工的应急意识和应急能力，加强对安全生产科普知识宣传。如每年六月安全生产月活动期间，都要以宣传单、板报、等形式面向员工宣传普及应急、预防、避险、自救、互救、减灾等知识，努力提高员工应对各种突发事件的综合素质，为应急管理工作顺利开展营造良好的氛围。</w:t>
      </w:r>
    </w:p>
    <w:p>
      <w:pPr>
        <w:pStyle w:val="3"/>
        <w:tabs>
          <w:tab w:val="left" w:pos="5790"/>
        </w:tabs>
        <w:spacing w:before="0" w:after="0" w:line="360" w:lineRule="auto"/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</w:pPr>
      <w:bookmarkStart w:id="6" w:name="_Toc3306"/>
      <w:r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3.存在的问题</w:t>
      </w:r>
      <w:bookmarkEnd w:id="6"/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7" w:name="_Toc10986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3.1应急管理体制工作的诸多方面不够适应</w:t>
      </w:r>
      <w:bookmarkEnd w:id="7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表现在应急预案体系仍不完善，预案覆盖面不全，过于原则化，针对性、可操作性不强，特别是上下对应、左右衔接不到位，预案的宣传、培训和演练仍存在不足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需进一步加强管理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。</w:t>
      </w:r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8" w:name="_Toc20659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3.2救援力量的不适应</w:t>
      </w:r>
      <w:bookmarkEnd w:id="8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救援队伍，专业人员和救援装备不足，目前应急救援队伍主要是加油站自有的，为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加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油站本身服务的救援队伍，其专业技术力量、救援人员和装备。难以承担社会救援任务的需要。</w:t>
      </w:r>
    </w:p>
    <w:p>
      <w:pPr>
        <w:pStyle w:val="3"/>
        <w:tabs>
          <w:tab w:val="left" w:pos="5790"/>
        </w:tabs>
        <w:spacing w:before="0" w:after="0" w:line="360" w:lineRule="auto"/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</w:pPr>
      <w:bookmarkStart w:id="9" w:name="_Toc11430"/>
      <w:r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4.公司加油站内部救援资源</w:t>
      </w:r>
      <w:bookmarkEnd w:id="9"/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10" w:name="_Toc2774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4.1预案的制定</w:t>
      </w:r>
      <w:bookmarkEnd w:id="10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加油站制定了突发环境事件应急预案，明确了相关职责，规范应急处置程序，发生环境安全事故时迅速有效开展行动，最大限度的保护员工和周围人员的身体健康和安全，防治环境污染，减少财产损失。</w:t>
      </w:r>
    </w:p>
    <w:p>
      <w:pPr>
        <w:pStyle w:val="2"/>
        <w:spacing w:before="0" w:after="0" w:line="360" w:lineRule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11" w:name="_Toc19554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4.2组织体系的建立及职责</w:t>
      </w:r>
      <w:bookmarkEnd w:id="11"/>
    </w:p>
    <w:p>
      <w:pPr>
        <w:pStyle w:val="4"/>
        <w:rPr>
          <w:rFonts w:hint="default" w:ascii="Times New Roman" w:hAnsi="Times New Roman" w:eastAsia="仿宋" w:cs="Times New Roman"/>
        </w:rPr>
      </w:pPr>
      <w:bookmarkStart w:id="12" w:name="_Toc7386"/>
      <w:r>
        <w:rPr>
          <w:rFonts w:hint="default" w:ascii="Times New Roman" w:hAnsi="Times New Roman" w:eastAsia="仿宋" w:cs="Times New Roman"/>
        </w:rPr>
        <w:t>4.2.1组织体系</w:t>
      </w:r>
      <w:bookmarkEnd w:id="12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加油站成立突发环境事件应急指挥部（以下简称“指挥部”），全面负责加油站污染事故预防和应急各项工作。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指挥部由总指挥、副指挥、通讯联络组、抢险救援组和安全护卫组组成。应急组织机构图见图4.2-1。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</w:rPr>
        <w:drawing>
          <wp:inline distT="0" distB="0" distL="114300" distR="114300">
            <wp:extent cx="1963420" cy="2689225"/>
            <wp:effectExtent l="0" t="0" r="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268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</w:rPr>
        <w:t>图4.2-1    本加油站应急组织机构图</w:t>
      </w:r>
    </w:p>
    <w:p>
      <w:pPr>
        <w:pStyle w:val="4"/>
        <w:rPr>
          <w:rFonts w:hint="default" w:ascii="Times New Roman" w:hAnsi="Times New Roman" w:eastAsia="仿宋" w:cs="Times New Roman"/>
          <w:highlight w:val="none"/>
        </w:rPr>
      </w:pPr>
      <w:bookmarkStart w:id="13" w:name="_Toc488615891"/>
      <w:bookmarkStart w:id="14" w:name="_Toc12235"/>
      <w:bookmarkStart w:id="15" w:name="_Toc474513059"/>
      <w:r>
        <w:rPr>
          <w:rFonts w:hint="default" w:ascii="Times New Roman" w:hAnsi="Times New Roman" w:eastAsia="仿宋" w:cs="Times New Roman"/>
          <w:lang w:val="en-US" w:eastAsia="zh-CN"/>
        </w:rPr>
        <w:t>4.2.2</w:t>
      </w:r>
      <w:r>
        <w:rPr>
          <w:rFonts w:hint="default" w:ascii="Times New Roman" w:hAnsi="Times New Roman" w:eastAsia="仿宋" w:cs="Times New Roman"/>
          <w:highlight w:val="none"/>
        </w:rPr>
        <w:t>应急机构成员</w:t>
      </w:r>
      <w:bookmarkEnd w:id="13"/>
      <w:bookmarkEnd w:id="14"/>
      <w:bookmarkEnd w:id="15"/>
    </w:p>
    <w:p>
      <w:pPr>
        <w:spacing w:line="360" w:lineRule="auto"/>
        <w:ind w:firstLine="560" w:firstLineChars="200"/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eastAsia="zh-CN"/>
        </w:rPr>
      </w:pPr>
      <w:bookmarkStart w:id="16" w:name="_Toc474513060"/>
      <w:bookmarkStart w:id="17" w:name="_Toc488615892"/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指挥长：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江南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副指挥长：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刘俊超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4"/>
          <w:szCs w:val="24"/>
          <w:highlight w:val="none"/>
          <w:shd w:val="clear" w:color="FFFFFF" w:fill="D9D9D9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成员：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高策冉、杨凯</w:t>
      </w:r>
    </w:p>
    <w:p>
      <w:pPr>
        <w:pStyle w:val="4"/>
        <w:rPr>
          <w:rFonts w:hint="default" w:ascii="Times New Roman" w:hAnsi="Times New Roman" w:eastAsia="仿宋" w:cs="Times New Roman"/>
          <w:highlight w:val="none"/>
        </w:rPr>
      </w:pPr>
      <w:bookmarkStart w:id="18" w:name="_Toc24287"/>
      <w:r>
        <w:rPr>
          <w:rFonts w:hint="default" w:ascii="Times New Roman" w:hAnsi="Times New Roman" w:eastAsia="仿宋" w:cs="Times New Roman"/>
          <w:highlight w:val="none"/>
          <w:lang w:val="en-US" w:eastAsia="zh-CN"/>
        </w:rPr>
        <w:t>4.2.3</w:t>
      </w:r>
      <w:r>
        <w:rPr>
          <w:rFonts w:hint="default" w:ascii="Times New Roman" w:hAnsi="Times New Roman" w:eastAsia="仿宋" w:cs="Times New Roman"/>
          <w:highlight w:val="none"/>
        </w:rPr>
        <w:t>指挥部职责</w:t>
      </w:r>
      <w:bookmarkEnd w:id="16"/>
      <w:bookmarkEnd w:id="17"/>
      <w:bookmarkEnd w:id="18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贯彻执行国家、当地政府、上级主管部门关于突发环境事件和应急救援的方针、政策及有关规定；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组织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eastAsia="zh-CN"/>
        </w:rPr>
        <w:t>制定、修改公司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突发环境事件应急预案，组建环境污染事故应急救援队伍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，有计划地组织实施环境污染事故应急救援的培训和演习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组织指挥救援队伍实施救援行动，负责人员、资源配备，应急队伍的调动；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协调事故现场有关工作，配合政府部门对环境进行恢复，组织事故调查，总结应急工作经验教训，组织并迅速恢复生产；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批准本预案的启动和终止；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及时向上级部门和当地政府汇报污染事故的具体情况，必要时向当地政府和有关单位发出增援请求，并向周边单位通报相关情况；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负责组织督促应急预案的培训和演练，根据情况变化，及时对预案进行调整、修订和补充；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负责对员工进行应急知识和基本防护方法的培训，向周边企业、村落提供本单位有关危险化学品特性、救援知识等的宣传材料。</w:t>
      </w:r>
    </w:p>
    <w:p>
      <w:pPr>
        <w:pStyle w:val="4"/>
        <w:rPr>
          <w:rFonts w:hint="default" w:ascii="Times New Roman" w:hAnsi="Times New Roman" w:eastAsia="仿宋" w:cs="Times New Roman"/>
        </w:rPr>
      </w:pPr>
      <w:bookmarkStart w:id="19" w:name="_Toc474513061"/>
      <w:bookmarkStart w:id="20" w:name="_Toc31519"/>
      <w:bookmarkStart w:id="21" w:name="_Toc488615893"/>
      <w:r>
        <w:rPr>
          <w:rFonts w:hint="default" w:ascii="Times New Roman" w:hAnsi="Times New Roman" w:eastAsia="仿宋" w:cs="Times New Roman"/>
          <w:lang w:val="en-US" w:eastAsia="zh-CN"/>
        </w:rPr>
        <w:t>4.2.4</w:t>
      </w:r>
      <w:r>
        <w:rPr>
          <w:rFonts w:hint="default" w:ascii="Times New Roman" w:hAnsi="Times New Roman" w:eastAsia="仿宋" w:cs="Times New Roman"/>
        </w:rPr>
        <w:t>应急指挥人员职责</w:t>
      </w:r>
      <w:bookmarkEnd w:id="19"/>
      <w:bookmarkEnd w:id="20"/>
      <w:bookmarkEnd w:id="21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（1）指挥长职责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负责站区应急工作的重大决策和全面指挥、协调工作；在特殊情况下具有调整应急方案的最终决策权；有权免除对应急救援工作不力的副指挥长和应急救援人员；有权调配全站应急救援资源，包括人力资源、物资装备和资金使用；组织事故调查，总结应急救援经验教训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（2）副指挥长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协助总指挥工作，负责指挥、协调各应急小组和各救援队伍的具体行动，并实施指挥部各项应急救援处理决策，总指挥因故缺席时履行总指挥职责。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highlight w:val="none"/>
        </w:rPr>
      </w:pPr>
      <w:bookmarkStart w:id="22" w:name="_Toc488615894"/>
      <w:bookmarkStart w:id="23" w:name="_Toc18010"/>
      <w:bookmarkStart w:id="24" w:name="_Toc474513063"/>
      <w:r>
        <w:rPr>
          <w:rFonts w:hint="default" w:ascii="Times New Roman" w:hAnsi="Times New Roman" w:eastAsia="仿宋" w:cs="Times New Roman"/>
          <w:lang w:val="en-US" w:eastAsia="zh-CN"/>
        </w:rPr>
        <w:t>4.2.5</w:t>
      </w:r>
      <w:r>
        <w:rPr>
          <w:rFonts w:hint="default" w:ascii="Times New Roman" w:hAnsi="Times New Roman" w:eastAsia="仿宋" w:cs="Times New Roman"/>
          <w:highlight w:val="none"/>
        </w:rPr>
        <w:t>事故现场应急各小组</w:t>
      </w:r>
      <w:bookmarkEnd w:id="22"/>
      <w:bookmarkEnd w:id="23"/>
      <w:bookmarkEnd w:id="2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</w:pPr>
      <w:bookmarkStart w:id="25" w:name="_Toc474513064"/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1、抢险救援组：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高策冉、杨凯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2、通讯联络组：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张高、李鹏阳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3、安全护卫组：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沈志耕、王平安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</w:rPr>
      </w:pPr>
      <w:bookmarkStart w:id="26" w:name="_Toc488615895"/>
      <w:bookmarkStart w:id="27" w:name="_Toc28520"/>
      <w:r>
        <w:rPr>
          <w:rFonts w:hint="default" w:ascii="Times New Roman" w:hAnsi="Times New Roman" w:eastAsia="仿宋" w:cs="Times New Roman"/>
          <w:lang w:val="en-US" w:eastAsia="zh-CN"/>
        </w:rPr>
        <w:t>4.2.6</w:t>
      </w:r>
      <w:r>
        <w:rPr>
          <w:rFonts w:hint="default" w:ascii="Times New Roman" w:hAnsi="Times New Roman" w:eastAsia="仿宋" w:cs="Times New Roman"/>
        </w:rPr>
        <w:t>应急救援小组职责</w:t>
      </w:r>
      <w:bookmarkEnd w:id="25"/>
      <w:bookmarkEnd w:id="26"/>
      <w:bookmarkEnd w:id="27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1、抢险救援组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当事故发生时，根据事故的性质立即组织消防应急队员赶到现场，控制危险源，展开火灾扑救、现场人员搜救、设备容器的堵漏及人员疏散等工作。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（1）熟悉站区所属单位的地形、地貌及各类设备的特性、特征，以及产品的理化特性；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（2）熟悉各种灭火器材、设施的用途、操作方法、存放地点及使用范围；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（3）了解各种抢险的方法、路线和抢修工具、器械、配件的存放地点等；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（4）当发生事故时，全组人员必须迅速赶到事故应急集合点，听从组长的安排，根据指挥部的命令，迅速开展火灾扑救、物资抢救工作；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（5）公安消防队到达现场后，协助公安消防队的消防抢险工作；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（6）负责协助公安消防队在事故控制后的现场洗消工作。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2、通讯联络组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根据事故发展动态，及时向上级部门报告，同时向周边通报事故情况。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（1）负责对内对外联系，准确报警，及时向社会救援组织传递安全信息，发布险情，进行现场与外界有效沟通，以获得有力的社会支援；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（2）负责事故应急救援的通信保障，根据应急救援过程的通信需要提供通信服务，确保畅通；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（3）正确引导媒体，避免不良社会影响。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3、安全护卫组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主要职责是划定现场的警戒区并组织警戒，维护现场治安和交通秩序，负责疏散事件区域内的群众和无关人员，负责救援运输车辆的畅通。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（1）发生事件后，根据事件情景佩戴好防护用品，迅速奔赴现场，根据突发环境事件的影响范围，设置禁区，布置岗哨，加强警戒，巡逻检查，严禁无关人员进入禁区；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（2）接到报警后，维护厂区道路交通秩序，引导外来救援力量进入事件发生点，严禁外来人员入厂围观。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28" w:name="_Toc488615896"/>
      <w:bookmarkStart w:id="29" w:name="_Toc21486"/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  <w:lang w:val="en-US" w:eastAsia="zh-CN"/>
        </w:rPr>
        <w:t>4.3</w:t>
      </w:r>
      <w:r>
        <w:rPr>
          <w:rStyle w:val="21"/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应急保障</w:t>
      </w:r>
      <w:bookmarkEnd w:id="28"/>
      <w:bookmarkEnd w:id="29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</w:rPr>
      </w:pPr>
      <w:bookmarkStart w:id="30" w:name="_Toc18294"/>
      <w:bookmarkStart w:id="31" w:name="_Toc488615897"/>
      <w:r>
        <w:rPr>
          <w:rFonts w:hint="default" w:ascii="Times New Roman" w:hAnsi="Times New Roman" w:eastAsia="仿宋" w:cs="Times New Roman"/>
          <w:lang w:val="en-US" w:eastAsia="zh-CN"/>
        </w:rPr>
        <w:t>4.3.1</w:t>
      </w:r>
      <w:r>
        <w:rPr>
          <w:rFonts w:hint="default" w:ascii="Times New Roman" w:hAnsi="Times New Roman" w:eastAsia="仿宋" w:cs="Times New Roman"/>
        </w:rPr>
        <w:t>人力资源保障</w:t>
      </w:r>
      <w:bookmarkEnd w:id="30"/>
      <w:bookmarkEnd w:id="31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加强加油站应急队伍的业务培训和应急演练，整合加油站现有应急资源，提高装备水平；充分利用社会应急资源，提供应急期间的医疗卫生、治安保卫、交通维护和运输等应急救援力量的保障；加强广大员工应急能力建设，鼓励义务志愿者参与应急工作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bookmarkStart w:id="32" w:name="_Toc488615898"/>
      <w:bookmarkStart w:id="33" w:name="_Toc2308"/>
      <w:r>
        <w:rPr>
          <w:rFonts w:hint="default" w:ascii="Times New Roman" w:hAnsi="Times New Roman" w:eastAsia="仿宋" w:cs="Times New Roman"/>
          <w:lang w:val="en-US" w:eastAsia="zh-CN"/>
        </w:rPr>
        <w:t>4.3.2资金保障</w:t>
      </w:r>
      <w:bookmarkEnd w:id="32"/>
      <w:bookmarkEnd w:id="3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应急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  <w:lang w:val="en-US" w:eastAsia="zh-CN"/>
        </w:rPr>
        <w:t>指挥部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依据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环境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  <w:lang w:val="en-US" w:eastAsia="zh-CN"/>
        </w:rPr>
        <w:t>风险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应急能力现状，每年评估下年度应急项目的资金需求，报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  <w:lang w:val="en-US" w:eastAsia="zh-CN"/>
        </w:rPr>
        <w:t>应急指挥部总之胡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审批后，列为专项资金，专款专用。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  <w:lang w:val="en-US" w:eastAsia="zh-CN"/>
        </w:rPr>
        <w:t>应急指挥部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应急经费用于应急预案的培训和演练、物资设备采购等，各部门根据实际需求提出经费使用计划报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  <w:lang w:val="en-US" w:eastAsia="zh-CN"/>
        </w:rPr>
        <w:t>应急指挥部</w:t>
      </w:r>
      <w:r>
        <w:rPr>
          <w:rFonts w:hint="default" w:ascii="Times New Roman" w:hAnsi="Times New Roman" w:eastAsia="仿宋" w:cs="Times New Roman"/>
          <w:bCs/>
          <w:color w:val="000000"/>
          <w:sz w:val="28"/>
          <w:szCs w:val="28"/>
        </w:rPr>
        <w:t>审批，要保证应急经费的及时充足。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bookmarkStart w:id="34" w:name="_Toc12700"/>
      <w:bookmarkStart w:id="35" w:name="_Toc488615899"/>
      <w:r>
        <w:rPr>
          <w:rFonts w:hint="default" w:ascii="Times New Roman" w:hAnsi="Times New Roman" w:eastAsia="仿宋" w:cs="Times New Roman"/>
          <w:lang w:val="en-US" w:eastAsia="zh-CN"/>
        </w:rPr>
        <w:t>4.3.3物资保障</w:t>
      </w:r>
      <w:bookmarkEnd w:id="34"/>
      <w:bookmarkEnd w:id="3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现有的应急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物资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及装备见表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4.1-1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</w:rPr>
        <w:t>表</w:t>
      </w: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  <w:lang w:val="en-US" w:eastAsia="zh-CN"/>
        </w:rPr>
        <w:t>4.1</w:t>
      </w: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</w:rPr>
        <w:t>-1  应急</w:t>
      </w: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  <w:lang w:eastAsia="zh-CN"/>
        </w:rPr>
        <w:t>物资</w:t>
      </w: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</w:rPr>
        <w:t>和</w:t>
      </w: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  <w:lang w:eastAsia="zh-CN"/>
        </w:rPr>
        <w:t>装备</w:t>
      </w:r>
      <w:r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</w:rPr>
        <w:t>统计表</w:t>
      </w:r>
    </w:p>
    <w:tbl>
      <w:tblPr>
        <w:tblStyle w:val="12"/>
        <w:tblW w:w="850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262"/>
        <w:gridCol w:w="1333"/>
        <w:gridCol w:w="1023"/>
        <w:gridCol w:w="1842"/>
        <w:gridCol w:w="12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配置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位置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手提式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  <w:t>干粉灭火器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8kg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8个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加油区、站房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、油罐区</w:t>
            </w:r>
          </w:p>
        </w:tc>
        <w:tc>
          <w:tcPr>
            <w:tcW w:w="12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eastAsia="zh-CN"/>
              </w:rPr>
              <w:t>现有物资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手提式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  <w:t>干粉灭火器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3kg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  <w:t>具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配电室、发电间</w:t>
            </w:r>
          </w:p>
        </w:tc>
        <w:tc>
          <w:tcPr>
            <w:tcW w:w="12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推车式干粉灭火器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35kg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2个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油罐区、加油区</w:t>
            </w:r>
          </w:p>
        </w:tc>
        <w:tc>
          <w:tcPr>
            <w:tcW w:w="12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灭火</w:t>
            </w: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毯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  <w:t>块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油罐区、加油区</w:t>
            </w:r>
          </w:p>
        </w:tc>
        <w:tc>
          <w:tcPr>
            <w:tcW w:w="12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消防沙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3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  <w:t>1座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油罐区</w:t>
            </w:r>
          </w:p>
        </w:tc>
        <w:tc>
          <w:tcPr>
            <w:tcW w:w="12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消防锨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  <w:t>2把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油罐区</w:t>
            </w:r>
          </w:p>
        </w:tc>
        <w:tc>
          <w:tcPr>
            <w:tcW w:w="12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262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消防桶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highlight w:val="none"/>
                <w:lang w:val="en-US" w:eastAsia="zh-CN"/>
              </w:rPr>
              <w:t>4个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油罐区</w:t>
            </w:r>
          </w:p>
        </w:tc>
        <w:tc>
          <w:tcPr>
            <w:tcW w:w="12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加油站需要完善的应急设施及装备见表4.1-2。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  <w:t>表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>4.1-2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  <w:t xml:space="preserve">  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>加油站应完善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的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  <w:t>应急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物资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  <w:t>和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装备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  <w:t>统计表</w:t>
      </w:r>
    </w:p>
    <w:tbl>
      <w:tblPr>
        <w:tblStyle w:val="12"/>
        <w:tblW w:w="850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2307"/>
        <w:gridCol w:w="2350"/>
        <w:gridCol w:w="1390"/>
        <w:gridCol w:w="16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230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配置地点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数量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30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急救箱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站房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1个</w:t>
            </w:r>
          </w:p>
        </w:tc>
        <w:tc>
          <w:tcPr>
            <w:tcW w:w="163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拟增加物资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307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highlight w:val="none"/>
                <w:shd w:val="clear" w:color="auto" w:fill="auto"/>
              </w:rPr>
              <w:t>安全帽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站房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highlight w:val="none"/>
                <w:shd w:val="clear" w:color="auto" w:fill="auto"/>
              </w:rPr>
              <w:t>个</w:t>
            </w:r>
          </w:p>
        </w:tc>
        <w:tc>
          <w:tcPr>
            <w:tcW w:w="16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2307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highlight w:val="none"/>
                <w:shd w:val="clear" w:color="auto" w:fill="auto"/>
              </w:rPr>
              <w:t>扩音喇叭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站房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2个</w:t>
            </w:r>
          </w:p>
        </w:tc>
        <w:tc>
          <w:tcPr>
            <w:tcW w:w="16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230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  <w:shd w:val="clear" w:color="auto" w:fill="auto"/>
              </w:rPr>
              <w:t>隔离带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站房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2条</w:t>
            </w:r>
          </w:p>
        </w:tc>
        <w:tc>
          <w:tcPr>
            <w:tcW w:w="16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230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highlight w:val="none"/>
                <w:shd w:val="clear" w:color="auto" w:fill="auto"/>
                <w:lang w:eastAsia="zh-CN"/>
              </w:rPr>
              <w:t>正压式呼吸机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站房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highlight w:val="none"/>
                <w:shd w:val="clear" w:color="auto" w:fill="auto"/>
                <w:lang w:val="en-US" w:eastAsia="zh-CN"/>
              </w:rPr>
              <w:t>1个</w:t>
            </w:r>
          </w:p>
        </w:tc>
        <w:tc>
          <w:tcPr>
            <w:tcW w:w="16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</w:p>
        </w:tc>
      </w:tr>
    </w:tbl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bookmarkStart w:id="36" w:name="_Toc27390"/>
      <w:bookmarkStart w:id="37" w:name="_Toc488615902"/>
      <w:r>
        <w:rPr>
          <w:rFonts w:hint="default" w:ascii="Times New Roman" w:hAnsi="Times New Roman" w:eastAsia="仿宋" w:cs="Times New Roman"/>
          <w:lang w:val="en-US" w:eastAsia="zh-CN"/>
        </w:rPr>
        <w:t>4.3.4治安维护</w:t>
      </w:r>
      <w:bookmarkEnd w:id="3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治安维护工作由安全防卫组承担，确保抢险过程中的警戒与治安维护工作。同时，与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西咸新区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公安局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秦汉新城分局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建立联系，必要对请求派出所支援现场，维护治安。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bookmarkStart w:id="38" w:name="_Toc29832"/>
      <w:r>
        <w:rPr>
          <w:rFonts w:hint="default" w:ascii="Times New Roman" w:hAnsi="Times New Roman" w:eastAsia="仿宋" w:cs="Times New Roman"/>
          <w:lang w:val="en-US" w:eastAsia="zh-CN"/>
        </w:rPr>
        <w:t>4.3.5通讯保障</w:t>
      </w:r>
      <w:bookmarkEnd w:id="3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加油站设立值班室，值班安排24小时有效报警通讯程控电话，方便报警，与有关方面及时取得联系。职工移动电话配备率达100%，可保障信息的及时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传递。24小时值班电话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029-33246355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 xml:space="preserve">表4.1-3  </w:t>
      </w: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>内部应急联络通讯录</w:t>
      </w:r>
    </w:p>
    <w:tbl>
      <w:tblPr>
        <w:tblStyle w:val="12"/>
        <w:tblW w:w="8504" w:type="dxa"/>
        <w:jc w:val="center"/>
        <w:tblInd w:w="29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1913"/>
        <w:gridCol w:w="2106"/>
        <w:gridCol w:w="25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应急职务</w:t>
            </w:r>
          </w:p>
        </w:tc>
        <w:tc>
          <w:tcPr>
            <w:tcW w:w="19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加油站</w:t>
            </w:r>
          </w:p>
        </w:tc>
        <w:tc>
          <w:tcPr>
            <w:tcW w:w="21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78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总指挥</w:t>
            </w:r>
          </w:p>
        </w:tc>
        <w:tc>
          <w:tcPr>
            <w:tcW w:w="19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延长壳牌石油有限公司咸宋路加油站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江南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13869892207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78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副总指挥</w:t>
            </w: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刘俊超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15596743999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978" w:type="dxa"/>
            <w:vMerge w:val="restart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  <w:t>抢险救援组</w:t>
            </w: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高策冉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18161929585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978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杨凯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13186262881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978" w:type="dxa"/>
            <w:vMerge w:val="restart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  <w:t>安全护卫组</w:t>
            </w: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张高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18609283985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978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李鹏阳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17698099660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978" w:type="dxa"/>
            <w:vMerge w:val="restart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  <w:t>通讯联络组</w:t>
            </w: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沈志耕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15384505580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978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王平安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15129045935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997" w:type="dxa"/>
            <w:gridSpan w:val="3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加油站24小时应急电话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029-33246355</w:t>
            </w:r>
          </w:p>
        </w:tc>
      </w:tr>
      <w:bookmarkEnd w:id="37"/>
    </w:tbl>
    <w:p>
      <w:pPr>
        <w:pStyle w:val="4"/>
        <w:spacing w:line="360" w:lineRule="auto"/>
        <w:rPr>
          <w:rFonts w:hint="default" w:ascii="Times New Roman" w:hAnsi="Times New Roman" w:eastAsia="仿宋" w:cs="Times New Roman"/>
          <w:lang w:val="en-US" w:eastAsia="zh-CN"/>
        </w:rPr>
      </w:pPr>
      <w:bookmarkStart w:id="39" w:name="_Toc2373"/>
      <w:r>
        <w:rPr>
          <w:rFonts w:hint="default" w:ascii="Times New Roman" w:hAnsi="Times New Roman" w:eastAsia="仿宋" w:cs="Times New Roman"/>
          <w:lang w:val="en-US" w:eastAsia="zh-CN"/>
        </w:rPr>
        <w:t>4.3.6应急资料</w:t>
      </w:r>
      <w:bookmarkEnd w:id="39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应急时可能用到的资料主要有：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（1）公司加油站平面图、应急物资布置图；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（2）应急人员联系电话；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（3）当地政府部门电话；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（4）突发环境事件应急预案。</w:t>
      </w:r>
    </w:p>
    <w:p>
      <w:pPr>
        <w:pStyle w:val="4"/>
        <w:spacing w:line="360" w:lineRule="auto"/>
        <w:rPr>
          <w:rFonts w:hint="default" w:ascii="Times New Roman" w:hAnsi="Times New Roman" w:eastAsia="仿宋" w:cs="Times New Roman"/>
          <w:lang w:val="en-US" w:eastAsia="zh-CN"/>
        </w:rPr>
      </w:pPr>
      <w:bookmarkStart w:id="40" w:name="_Toc32687"/>
      <w:r>
        <w:rPr>
          <w:rFonts w:hint="default" w:ascii="Times New Roman" w:hAnsi="Times New Roman" w:eastAsia="仿宋" w:cs="Times New Roman"/>
          <w:lang w:val="en-US" w:eastAsia="zh-CN"/>
        </w:rPr>
        <w:t>4.3.7制度保障</w:t>
      </w:r>
      <w:bookmarkEnd w:id="40"/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为了确保应急系统正常运转，公司加油站严格执行以下制度：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（1）值班制度：各部门建立昼夜值班制度；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（2）检查制度：结合日常生产检查，检查应急工作落实情况及器具保管情况；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（3）例会制度：在每季的安全环保工作例会上，要研究改进应急救援工作；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（4）总结评比制度：与安全环保工作同检查、同讲评、同表彰奖励。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</w:rPr>
      </w:pPr>
      <w:bookmarkStart w:id="41" w:name="_Toc25726"/>
      <w:r>
        <w:rPr>
          <w:rFonts w:hint="default" w:ascii="Times New Roman" w:hAnsi="Times New Roman" w:eastAsia="仿宋" w:cs="Times New Roman"/>
        </w:rPr>
        <w:t>5.外部救援资源</w:t>
      </w:r>
      <w:bookmarkEnd w:id="41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bookmarkStart w:id="42" w:name="_Toc27671"/>
      <w:r>
        <w:rPr>
          <w:rFonts w:hint="default" w:ascii="Times New Roman" w:hAnsi="Times New Roman" w:eastAsia="仿宋" w:cs="Times New Roman"/>
          <w:sz w:val="28"/>
          <w:szCs w:val="28"/>
        </w:rPr>
        <w:t>5.1外部救援</w:t>
      </w:r>
      <w:bookmarkEnd w:id="4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当事故扩大化需要外部力量救援时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shd w:val="clear" w:color="auto" w:fill="auto"/>
          <w:lang w:val="en-US" w:eastAsia="zh-CN"/>
        </w:rPr>
        <w:t>，从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shd w:val="clear" w:color="auto" w:fill="auto"/>
          <w:lang w:val="en-US" w:eastAsia="zh-CN"/>
        </w:rPr>
        <w:t>秦汉新城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shd w:val="clear" w:color="auto" w:fill="auto"/>
          <w:lang w:val="en-US" w:eastAsia="zh-CN"/>
        </w:rPr>
        <w:t>环境保护局等部门，可以发布支援命令，调动相关政府部门进行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全力支持和救护，主要参与部门有：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（1）公安部门：协助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加油站进行警戒，封锁相关要道，防止无关人员进入事故现场和污染区。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（2）消防队：发生火灾事故时，进行灭火的救护。主要有加油站内部抢险救援组，并与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秦汉新城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消防协调办确定社会消防救援工作。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（3）环保部门：提供事故时的实时监测和污染区的处理工作。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（4）电信部门：保障外部通讯系统的正常运转，能够及时准确发布事故的消息和发布有关命令。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（5）医疗单位：提供伤员、中毒救护的治疗服务和现场救护所需要的药品和人员。外部救援机构名单见表5.1-1。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>表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  <w:t xml:space="preserve">5.1-1  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>应急外部联系方式</w:t>
      </w:r>
    </w:p>
    <w:tbl>
      <w:tblPr>
        <w:tblStyle w:val="13"/>
        <w:tblW w:w="86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3874"/>
        <w:gridCol w:w="31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  <w:t>外部救援力量</w:t>
            </w: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公用联系电话</w:t>
            </w: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火灾报警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医疗救助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公安报警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环保热线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医疗卫生部门</w:t>
            </w: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周陵卫生院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029-33119891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上级主管部门</w:t>
            </w: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秦汉新城管委会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029-33185000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西咸新区秦汉新城环境保护局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029-33185030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lang w:val="en-US" w:eastAsia="zh-CN"/>
              </w:rPr>
              <w:t>秦汉新城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  <w:t>安全生产监督管理局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029-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33185321 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相关部门</w:t>
            </w:r>
          </w:p>
        </w:tc>
        <w:tc>
          <w:tcPr>
            <w:tcW w:w="3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lang w:val="en-US" w:eastAsia="zh-CN"/>
              </w:rPr>
              <w:t>西咸新区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  <w:t>环境监察执法大队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029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highlight w:val="none"/>
              </w:rPr>
              <w:t>-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highlight w:val="none"/>
                <w:lang w:val="en-US" w:eastAsia="zh-CN"/>
              </w:rPr>
              <w:t>38020521</w:t>
            </w:r>
          </w:p>
        </w:tc>
      </w:tr>
    </w:tbl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bookmarkStart w:id="43" w:name="_Toc18601"/>
      <w:r>
        <w:rPr>
          <w:rFonts w:hint="default" w:ascii="Times New Roman" w:hAnsi="Times New Roman" w:eastAsia="仿宋" w:cs="Times New Roman"/>
          <w:sz w:val="28"/>
          <w:szCs w:val="28"/>
        </w:rPr>
        <w:t>5.2专职队伍救援</w:t>
      </w:r>
      <w:bookmarkEnd w:id="4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一旦发生重大环境事件，本单位抢救抢险力量不够时，或有可能危及社会安全时，指挥部必须立即向上级和友邻单位通报，必要时请求社会力量支援。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bookmarkStart w:id="44" w:name="_Toc22672"/>
      <w:r>
        <w:rPr>
          <w:rFonts w:hint="default" w:ascii="Times New Roman" w:hAnsi="Times New Roman" w:eastAsia="仿宋" w:cs="Times New Roman"/>
          <w:sz w:val="28"/>
          <w:szCs w:val="28"/>
        </w:rPr>
        <w:t>5.3应急救援装备、物资、药品</w:t>
      </w:r>
      <w:bookmarkEnd w:id="4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本加油站事故救援依托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val="en-US" w:eastAsia="zh-CN"/>
        </w:rPr>
        <w:t>周陵卫生院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，医院配有救护车，救护车内配置氧气瓶、便携式内、外科用急救箱、便携式心电监护除颤仪、呼吸机、可折叠式推床各一套以及外科肢具、夹板和急救药品等。</w:t>
      </w:r>
    </w:p>
    <w:p>
      <w:pPr>
        <w:pStyle w:val="3"/>
        <w:pageBreakBefore w:val="0"/>
        <w:widowControl w:val="0"/>
        <w:tabs>
          <w:tab w:val="left" w:pos="5790"/>
        </w:tabs>
        <w:kinsoku/>
        <w:wordWrap/>
        <w:overflowPunct/>
        <w:topLinePunct w:val="0"/>
        <w:bidi w:val="0"/>
        <w:snapToGrid/>
        <w:spacing w:beforeLines="0" w:afterLines="0" w:line="360" w:lineRule="auto"/>
        <w:textAlignment w:val="auto"/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</w:rPr>
      </w:pPr>
      <w:bookmarkStart w:id="45" w:name="_Toc474766143"/>
      <w:bookmarkStart w:id="46" w:name="_Toc30967"/>
      <w:bookmarkStart w:id="47" w:name="_Toc30185"/>
      <w:r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6</w:t>
      </w:r>
      <w:bookmarkEnd w:id="45"/>
      <w:r>
        <w:rPr>
          <w:rStyle w:val="15"/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.应急资源调查的结论</w:t>
      </w:r>
      <w:bookmarkEnd w:id="46"/>
      <w:bookmarkEnd w:id="47"/>
    </w:p>
    <w:p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/>
        </w:rPr>
        <w:t>本次应急资源调查从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“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/>
        </w:rPr>
        <w:t>人、物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/>
        </w:rPr>
        <w:t>两方面进行了调查：本企业已运行多年，已成立组建了应急救援队伍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并配备了相应的应急物资，但物资配备不够全面，公司应尽快增加应急物资以达到要求；同时，通过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本次调查摸清了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与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政府配套的公共应急资源及队伍，突发环境事件发生时，如果能及时有效的利用好这些资源，对突发环境事件的控制是非常有利的。此外，为了使突发事件发生时各项应急救援工作有序开展，应急救援经费也是必不可少的，为此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制定了专项经费保障措施，只要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延长壳牌石油有限公司咸宋路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加油站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落实好措施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是能够满足事故应急要求的。</w:t>
      </w:r>
    </w:p>
    <w:p>
      <w:pPr>
        <w:pStyle w:val="17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附件1</w:t>
      </w:r>
    </w:p>
    <w:p>
      <w:pPr>
        <w:jc w:val="center"/>
        <w:rPr>
          <w:rFonts w:hint="eastAsia" w:ascii="Times New Roman" w:hAnsi="Times New Roman" w:eastAsia="仿宋" w:cs="Times New Roman"/>
          <w:b/>
          <w:color w:val="auto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3096260</wp:posOffset>
                </wp:positionV>
                <wp:extent cx="821055" cy="322580"/>
                <wp:effectExtent l="26670" t="12700" r="28575" b="35052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96690" y="4358640"/>
                          <a:ext cx="821055" cy="322580"/>
                        </a:xfrm>
                        <a:prstGeom prst="wedgeRoundRectCallout">
                          <a:avLst>
                            <a:gd name="adj1" fmla="val -51701"/>
                            <a:gd name="adj2" fmla="val 152559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color w:val="0D0D0D" w:themeColor="text1" w:themeTint="F2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9.95pt;margin-top:243.8pt;height:25.4pt;width:64.65pt;z-index:251658240;v-text-anchor:middle;mso-width-relative:page;mso-height-relative:page;" fillcolor="#FF0000" filled="t" stroked="t" coordsize="21600,21600" o:gfxdata="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LPvX4PXAAAACwEAAA8AAAAAAAAAAQAgAAAAIgAAAGRycy9kb3du&#10;cmV2LnhtbFBLAQIUABQAAAAIAIdO4kCxaFPqqwIAADkFAAAOAAAAAAAAAAEAIAAAACYBAABkcnMv&#10;ZTJvRG9jLnhtbFBLBQYAAAAABgAGAFkBAABDBgAAAAA=&#10;" adj="-367,43753,14400">
                <v:fill on="t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eastAsiaTheme="minorEastAsia"/>
                          <w:color w:val="0D0D0D" w:themeColor="text1" w:themeTint="F2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lang w:eastAsia="zh-CN"/>
        </w:rPr>
        <w:drawing>
          <wp:inline distT="0" distB="0" distL="114300" distR="114300">
            <wp:extent cx="6299200" cy="8126730"/>
            <wp:effectExtent l="0" t="0" r="6350" b="7620"/>
            <wp:docPr id="4" name="图片 4" descr="咸阳行政区划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咸阳行政区划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812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bookmarkStart w:id="48" w:name="_Toc15920"/>
      <w:r>
        <w:rPr>
          <w:rFonts w:hint="eastAsia" w:ascii="Times New Roman" w:hAnsi="Times New Roman" w:eastAsia="仿宋" w:cs="Times New Roman"/>
          <w:b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地理位置图</w:t>
      </w:r>
      <w:bookmarkEnd w:id="48"/>
    </w:p>
    <w:p>
      <w:pPr>
        <w:pStyle w:val="2"/>
        <w:rPr>
          <w:rFonts w:hint="default"/>
        </w:rPr>
        <w:sectPr>
          <w:footerReference r:id="rId9" w:type="default"/>
          <w:pgSz w:w="11906" w:h="16838"/>
          <w:pgMar w:top="1440" w:right="851" w:bottom="1440" w:left="1134" w:header="851" w:footer="615" w:gutter="0"/>
          <w:pgNumType w:start="1"/>
          <w:cols w:space="720" w:num="1"/>
          <w:docGrid w:linePitch="381" w:charSpace="0"/>
        </w:sectPr>
      </w:pPr>
    </w:p>
    <w:p>
      <w:pPr>
        <w:spacing w:line="240" w:lineRule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附件2</w:t>
      </w:r>
    </w:p>
    <w:p>
      <w:pPr>
        <w:spacing w:line="360" w:lineRule="auto"/>
        <w:jc w:val="center"/>
        <w:rPr>
          <w:rFonts w:hint="default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4962525</wp:posOffset>
                </wp:positionV>
                <wp:extent cx="4210050" cy="5524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89655" y="6501765"/>
                          <a:ext cx="42100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default" w:ascii="Times New Roman" w:hAnsi="Times New Roman" w:eastAsia="仿宋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项目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b/>
                                <w:sz w:val="28"/>
                                <w:szCs w:val="28"/>
                              </w:rPr>
                              <w:t>平面布置图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65pt;margin-top:390.75pt;height:43.5pt;width:331.5pt;z-index:251659264;mso-width-relative:page;mso-height-relative:page;" filled="f" stroked="f" coordsize="21600,21600" o:gfxdata="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ZF709wAAAAMAQAADwAAAAAAAAABACAAAAAiAAAAZHJzL2Rvd25yZXYueG1sUEsB&#10;AhQAFAAAAAgAh07iQHxnUT4qAgAAJAQAAA4AAAAAAAAAAQAgAAAAKw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default" w:ascii="Times New Roman" w:hAnsi="Times New Roman" w:eastAsia="仿宋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sz w:val="28"/>
                          <w:szCs w:val="28"/>
                          <w:lang w:val="en-US" w:eastAsia="zh-CN"/>
                        </w:rPr>
                        <w:t>项目</w:t>
                      </w:r>
                      <w:r>
                        <w:rPr>
                          <w:rFonts w:hint="default" w:ascii="Times New Roman" w:hAnsi="Times New Roman" w:eastAsia="仿宋" w:cs="Times New Roman"/>
                          <w:b/>
                          <w:sz w:val="28"/>
                          <w:szCs w:val="28"/>
                        </w:rPr>
                        <w:t>平面布置图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8851265" cy="4775200"/>
            <wp:effectExtent l="0" t="0" r="6985" b="635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51265" cy="47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O&#10;EqiT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/>
        <w:lang w:val="en-US" w:eastAsia="zh-CN"/>
      </w:rPr>
      <w:t xml:space="preserve">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rPr>
        <w:rFonts w:hint="eastAsia" w:eastAsiaTheme="minorEastAsia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rPr>
        <w:rFonts w:hint="eastAsia" w:eastAsiaTheme="minorEastAsia"/>
        <w:lang w:eastAsia="zh-CN"/>
      </w:rPr>
    </w:pPr>
    <w:r>
      <w:rPr>
        <w:rFonts w:hint="eastAsia"/>
        <w:lang w:val="en-US" w:eastAsia="zh-CN"/>
      </w:rPr>
      <w:t>延长壳牌石油有限公司咸宋路加油站环境应急资源调查报告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47"/>
    <w:rsid w:val="001107AE"/>
    <w:rsid w:val="001D6959"/>
    <w:rsid w:val="00247BA5"/>
    <w:rsid w:val="002936FF"/>
    <w:rsid w:val="00440CA6"/>
    <w:rsid w:val="005133CE"/>
    <w:rsid w:val="00615A17"/>
    <w:rsid w:val="006D14A3"/>
    <w:rsid w:val="007B76BC"/>
    <w:rsid w:val="008A50CE"/>
    <w:rsid w:val="008B2B47"/>
    <w:rsid w:val="008C028B"/>
    <w:rsid w:val="008E78F8"/>
    <w:rsid w:val="00946B85"/>
    <w:rsid w:val="00973A96"/>
    <w:rsid w:val="00A1765D"/>
    <w:rsid w:val="00C10CBD"/>
    <w:rsid w:val="00C22796"/>
    <w:rsid w:val="00EA50DA"/>
    <w:rsid w:val="00EB5D80"/>
    <w:rsid w:val="00FB41E9"/>
    <w:rsid w:val="050873E5"/>
    <w:rsid w:val="0560758C"/>
    <w:rsid w:val="066B37FA"/>
    <w:rsid w:val="08891930"/>
    <w:rsid w:val="0DA27D9C"/>
    <w:rsid w:val="0E452F75"/>
    <w:rsid w:val="0FB6503F"/>
    <w:rsid w:val="12B770D4"/>
    <w:rsid w:val="14023784"/>
    <w:rsid w:val="1679500C"/>
    <w:rsid w:val="184A1FB4"/>
    <w:rsid w:val="186D191A"/>
    <w:rsid w:val="1BAE6A92"/>
    <w:rsid w:val="1FA7560F"/>
    <w:rsid w:val="20F81B28"/>
    <w:rsid w:val="21DE4F99"/>
    <w:rsid w:val="23257EC7"/>
    <w:rsid w:val="290E7778"/>
    <w:rsid w:val="2B5E2A25"/>
    <w:rsid w:val="2F9A466E"/>
    <w:rsid w:val="31174E6D"/>
    <w:rsid w:val="32552BCC"/>
    <w:rsid w:val="32BC1095"/>
    <w:rsid w:val="34BC7F50"/>
    <w:rsid w:val="36A34895"/>
    <w:rsid w:val="378D7318"/>
    <w:rsid w:val="3B7C161C"/>
    <w:rsid w:val="3C147EAD"/>
    <w:rsid w:val="3DA760C2"/>
    <w:rsid w:val="3DAB06A6"/>
    <w:rsid w:val="3DF168EC"/>
    <w:rsid w:val="416C7D08"/>
    <w:rsid w:val="474019E5"/>
    <w:rsid w:val="4CA37810"/>
    <w:rsid w:val="555A16E6"/>
    <w:rsid w:val="557F2677"/>
    <w:rsid w:val="55941BC0"/>
    <w:rsid w:val="562C384C"/>
    <w:rsid w:val="56560FF3"/>
    <w:rsid w:val="56AC2060"/>
    <w:rsid w:val="577D3793"/>
    <w:rsid w:val="592E550F"/>
    <w:rsid w:val="59F76389"/>
    <w:rsid w:val="5B2B04B0"/>
    <w:rsid w:val="60C27495"/>
    <w:rsid w:val="64D147B1"/>
    <w:rsid w:val="663C09D4"/>
    <w:rsid w:val="68C4130A"/>
    <w:rsid w:val="699D0944"/>
    <w:rsid w:val="6B876704"/>
    <w:rsid w:val="6E733C9C"/>
    <w:rsid w:val="6EA53311"/>
    <w:rsid w:val="73C66D44"/>
    <w:rsid w:val="74DB79CE"/>
    <w:rsid w:val="7CBD5405"/>
    <w:rsid w:val="7CE8553A"/>
    <w:rsid w:val="7E01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480" w:lineRule="auto"/>
      <w:jc w:val="left"/>
      <w:outlineLvl w:val="0"/>
    </w:pPr>
    <w:rPr>
      <w:rFonts w:ascii="Times New Roman" w:hAnsi="Times New Roman" w:eastAsiaTheme="minorEastAsia"/>
      <w:b/>
      <w:kern w:val="44"/>
      <w:sz w:val="32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auto"/>
      <w:jc w:val="left"/>
      <w:outlineLvl w:val="1"/>
    </w:pPr>
    <w:rPr>
      <w:rFonts w:ascii="Times New Roman" w:hAnsi="Times New Roman" w:eastAsia="宋体"/>
      <w:b/>
      <w:sz w:val="30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auto"/>
      <w:jc w:val="left"/>
      <w:outlineLvl w:val="2"/>
    </w:pPr>
    <w:rPr>
      <w:rFonts w:ascii="Times New Roman" w:hAnsi="Times New Roman" w:eastAsiaTheme="minorEastAsia"/>
      <w:b/>
      <w:sz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line="240" w:lineRule="atLeast"/>
    </w:pPr>
    <w:rPr>
      <w:spacing w:val="-6"/>
      <w:sz w:val="32"/>
      <w:szCs w:val="20"/>
    </w:r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Body Text First Indent 2"/>
    <w:basedOn w:val="1"/>
    <w:next w:val="1"/>
    <w:unhideWhenUsed/>
    <w:qFormat/>
    <w:uiPriority w:val="99"/>
    <w:pPr>
      <w:adjustRightInd w:val="0"/>
      <w:spacing w:after="80" w:line="360" w:lineRule="auto"/>
      <w:ind w:left="0" w:leftChars="0" w:firstLine="480" w:firstLineChars="200"/>
      <w:textAlignment w:val="baseline"/>
    </w:pPr>
    <w:rPr>
      <w:rFonts w:ascii="宋体" w:hAnsi="宋体"/>
      <w:color w:val="000000"/>
      <w:kern w:val="0"/>
      <w:sz w:val="24"/>
      <w:szCs w:val="20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page number"/>
    <w:basedOn w:val="14"/>
    <w:qFormat/>
    <w:uiPriority w:val="0"/>
  </w:style>
  <w:style w:type="paragraph" w:customStyle="1" w:styleId="17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Body text + Batang"/>
    <w:qFormat/>
    <w:uiPriority w:val="0"/>
    <w:rPr>
      <w:rFonts w:hint="eastAsia" w:ascii="Batang" w:hAnsi="Batang" w:eastAsia="Batang" w:cs="Batang"/>
      <w:color w:val="000000"/>
      <w:spacing w:val="-10"/>
      <w:w w:val="100"/>
      <w:position w:val="0"/>
      <w:sz w:val="27"/>
      <w:szCs w:val="27"/>
      <w:u w:val="no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3.png"/><Relationship Id="rId12" Type="http://schemas.openxmlformats.org/officeDocument/2006/relationships/image" Target="media/image2.jpeg"/><Relationship Id="rId11" Type="http://schemas.openxmlformats.org/officeDocument/2006/relationships/image" Target="media/image1.em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654</Words>
  <Characters>3730</Characters>
  <Lines>31</Lines>
  <Paragraphs>8</Paragraphs>
  <TotalTime>1</TotalTime>
  <ScaleCrop>false</ScaleCrop>
  <LinksUpToDate>false</LinksUpToDate>
  <CharactersWithSpaces>4376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2017-03-22T07:36:00Z</dcterms:created>
  <dc:creator>PC</dc:creator>
  <cp:lastModifiedBy>闹闹</cp:lastModifiedBy>
  <dcterms:modified xsi:type="dcterms:W3CDTF">2019-08-16T02:09:15Z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