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opLinePunct/>
        <w:jc w:val="center"/>
        <w:rPr>
          <w:rFonts w:hint="eastAsia" w:ascii="仿宋" w:hAnsi="仿宋" w:eastAsia="仿宋" w:cs="仿宋"/>
          <w:b/>
          <w:bCs/>
          <w:color w:val="auto"/>
          <w:sz w:val="36"/>
          <w:szCs w:val="36"/>
        </w:rPr>
      </w:pPr>
    </w:p>
    <w:p>
      <w:pPr>
        <w:topLinePunct/>
        <w:jc w:val="center"/>
        <w:rPr>
          <w:rFonts w:hint="eastAsia" w:ascii="仿宋" w:hAnsi="仿宋" w:eastAsia="仿宋" w:cs="仿宋"/>
          <w:b/>
          <w:bCs/>
          <w:color w:val="auto"/>
          <w:sz w:val="36"/>
          <w:szCs w:val="36"/>
        </w:rPr>
      </w:pPr>
    </w:p>
    <w:p>
      <w:pPr>
        <w:topLinePunct/>
        <w:jc w:val="center"/>
        <w:rPr>
          <w:rFonts w:hint="eastAsia" w:ascii="仿宋" w:hAnsi="仿宋" w:eastAsia="仿宋" w:cs="仿宋"/>
          <w:b/>
          <w:bCs/>
          <w:color w:val="auto"/>
          <w:sz w:val="36"/>
          <w:szCs w:val="36"/>
        </w:rPr>
      </w:pPr>
    </w:p>
    <w:p>
      <w:pPr>
        <w:rPr>
          <w:rFonts w:hint="eastAsia"/>
          <w:color w:val="auto"/>
        </w:rPr>
      </w:pPr>
    </w:p>
    <w:p>
      <w:pPr>
        <w:topLinePunct/>
        <w:jc w:val="center"/>
        <w:rPr>
          <w:rFonts w:hint="eastAsia" w:ascii="仿宋" w:hAnsi="仿宋" w:cs="仿宋"/>
          <w:b/>
          <w:bCs/>
          <w:color w:val="auto"/>
          <w:sz w:val="48"/>
          <w:szCs w:val="48"/>
          <w:lang w:eastAsia="zh-CN"/>
        </w:rPr>
      </w:pPr>
      <w:r>
        <w:rPr>
          <w:rFonts w:hint="eastAsia" w:ascii="仿宋" w:hAnsi="仿宋" w:cs="仿宋"/>
          <w:b/>
          <w:bCs/>
          <w:color w:val="auto"/>
          <w:sz w:val="48"/>
          <w:szCs w:val="48"/>
          <w:lang w:eastAsia="zh-CN"/>
        </w:rPr>
        <w:t>咸阳市秦都区宏大建材厂</w:t>
      </w:r>
    </w:p>
    <w:p>
      <w:pPr>
        <w:topLinePunct/>
        <w:jc w:val="center"/>
        <w:rPr>
          <w:rFonts w:hint="eastAsia" w:ascii="仿宋" w:hAnsi="仿宋" w:cs="仿宋"/>
          <w:b/>
          <w:bCs/>
          <w:color w:val="auto"/>
          <w:sz w:val="48"/>
          <w:szCs w:val="48"/>
          <w:lang w:eastAsia="zh-CN"/>
        </w:rPr>
      </w:pPr>
    </w:p>
    <w:p>
      <w:pPr>
        <w:topLinePunct/>
        <w:jc w:val="center"/>
        <w:rPr>
          <w:rFonts w:hint="eastAsia" w:ascii="仿宋" w:hAnsi="仿宋" w:eastAsia="仿宋" w:cs="仿宋"/>
          <w:b/>
          <w:bCs/>
          <w:color w:val="auto"/>
          <w:sz w:val="36"/>
          <w:szCs w:val="36"/>
          <w:lang w:val="en-US" w:eastAsia="zh-CN"/>
        </w:rPr>
      </w:pPr>
      <w:r>
        <w:rPr>
          <w:rFonts w:hint="eastAsia" w:ascii="仿宋" w:hAnsi="仿宋" w:eastAsia="仿宋" w:cs="仿宋"/>
          <w:b/>
          <w:bCs/>
          <w:color w:val="auto"/>
          <w:sz w:val="48"/>
          <w:szCs w:val="48"/>
          <w:lang w:val="en-US" w:eastAsia="zh-CN"/>
        </w:rPr>
        <w:t>突发环境事件</w:t>
      </w:r>
      <w:r>
        <w:rPr>
          <w:rFonts w:hint="eastAsia" w:ascii="仿宋" w:hAnsi="仿宋" w:cs="仿宋"/>
          <w:b/>
          <w:bCs/>
          <w:color w:val="auto"/>
          <w:sz w:val="48"/>
          <w:szCs w:val="48"/>
          <w:lang w:val="en-US" w:eastAsia="zh-CN"/>
        </w:rPr>
        <w:t>风险评估报告</w:t>
      </w: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center"/>
        <w:rPr>
          <w:rFonts w:hint="eastAsia" w:ascii="仿宋" w:hAnsi="仿宋" w:eastAsia="仿宋" w:cs="仿宋"/>
          <w:b/>
          <w:bCs/>
          <w:color w:val="auto"/>
          <w:sz w:val="36"/>
          <w:szCs w:val="36"/>
          <w:lang w:val="en-US" w:eastAsia="zh-CN"/>
        </w:rPr>
      </w:pPr>
    </w:p>
    <w:p>
      <w:pPr>
        <w:topLinePunct/>
        <w:jc w:val="both"/>
        <w:rPr>
          <w:rFonts w:hint="eastAsia" w:ascii="仿宋" w:hAnsi="仿宋" w:eastAsia="仿宋" w:cs="仿宋"/>
          <w:b/>
          <w:bCs/>
          <w:color w:val="auto"/>
          <w:sz w:val="36"/>
          <w:szCs w:val="36"/>
          <w:lang w:val="en-US" w:eastAsia="zh-CN"/>
        </w:rPr>
      </w:pPr>
    </w:p>
    <w:p>
      <w:pPr>
        <w:topLinePunct/>
        <w:jc w:val="center"/>
        <w:rPr>
          <w:rFonts w:hint="eastAsia" w:ascii="Times New Roman" w:hAnsi="Times New Roman" w:cs="Times New Roman"/>
          <w:b/>
          <w:bCs/>
          <w:color w:val="auto"/>
          <w:sz w:val="32"/>
          <w:szCs w:val="32"/>
          <w:highlight w:val="none"/>
          <w:lang w:val="en-US" w:eastAsia="zh-CN"/>
        </w:rPr>
      </w:pPr>
      <w:r>
        <w:rPr>
          <w:rFonts w:hint="eastAsia" w:ascii="Times New Roman" w:hAnsi="Times New Roman" w:cs="Times New Roman"/>
          <w:b/>
          <w:bCs/>
          <w:color w:val="auto"/>
          <w:sz w:val="32"/>
          <w:szCs w:val="32"/>
          <w:highlight w:val="none"/>
          <w:lang w:val="en-US" w:eastAsia="zh-CN"/>
        </w:rPr>
        <w:t>咸阳市秦都区宏大建材厂</w:t>
      </w:r>
    </w:p>
    <w:p>
      <w:pPr>
        <w:topLinePunct/>
        <w:jc w:val="center"/>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二〇一</w:t>
      </w:r>
      <w:r>
        <w:rPr>
          <w:rFonts w:hint="eastAsia" w:ascii="Times New Roman" w:hAnsi="Times New Roman" w:cs="Times New Roman"/>
          <w:b/>
          <w:bCs/>
          <w:color w:val="auto"/>
          <w:sz w:val="32"/>
          <w:szCs w:val="32"/>
          <w:lang w:val="en-US" w:eastAsia="zh-CN"/>
        </w:rPr>
        <w:t>九</w:t>
      </w:r>
      <w:r>
        <w:rPr>
          <w:rFonts w:hint="default" w:ascii="Times New Roman" w:hAnsi="Times New Roman" w:eastAsia="仿宋" w:cs="Times New Roman"/>
          <w:b/>
          <w:bCs/>
          <w:color w:val="auto"/>
          <w:sz w:val="32"/>
          <w:szCs w:val="32"/>
          <w:lang w:val="en-US" w:eastAsia="zh-CN"/>
        </w:rPr>
        <w:t>年</w:t>
      </w:r>
      <w:r>
        <w:rPr>
          <w:rFonts w:hint="eastAsia" w:ascii="Times New Roman" w:hAnsi="Times New Roman" w:cs="Times New Roman"/>
          <w:b/>
          <w:bCs/>
          <w:color w:val="auto"/>
          <w:sz w:val="32"/>
          <w:szCs w:val="32"/>
          <w:lang w:val="en-US" w:eastAsia="zh-CN"/>
        </w:rPr>
        <w:t>八</w:t>
      </w:r>
      <w:r>
        <w:rPr>
          <w:rFonts w:hint="default" w:ascii="Times New Roman" w:hAnsi="Times New Roman" w:eastAsia="仿宋" w:cs="Times New Roman"/>
          <w:b/>
          <w:bCs/>
          <w:color w:val="auto"/>
          <w:sz w:val="32"/>
          <w:szCs w:val="32"/>
          <w:lang w:val="en-US" w:eastAsia="zh-CN"/>
        </w:rPr>
        <w:t>月</w:t>
      </w:r>
    </w:p>
    <w:p>
      <w:pPr>
        <w:rPr>
          <w:color w:val="auto"/>
        </w:rPr>
      </w:pPr>
    </w:p>
    <w:p>
      <w:pPr>
        <w:rPr>
          <w:color w:val="auto"/>
        </w:rPr>
      </w:pPr>
    </w:p>
    <w:p>
      <w:pPr>
        <w:rPr>
          <w:color w:val="auto"/>
        </w:rPr>
      </w:pPr>
    </w:p>
    <w:p>
      <w:pPr>
        <w:keepNext w:val="0"/>
        <w:keepLines w:val="0"/>
        <w:pageBreakBefore w:val="0"/>
        <w:widowControl w:val="0"/>
        <w:kinsoku/>
        <w:wordWrap/>
        <w:overflowPunct/>
        <w:topLinePunct w:val="0"/>
        <w:autoSpaceDE/>
        <w:autoSpaceDN/>
        <w:bidi w:val="0"/>
        <w:jc w:val="center"/>
        <w:textAlignment w:val="auto"/>
        <w:rPr>
          <w:rFonts w:hint="eastAsia" w:ascii="仿宋" w:hAnsi="仿宋" w:eastAsia="仿宋" w:cs="仿宋"/>
          <w:b/>
          <w:bCs/>
          <w:color w:val="auto"/>
          <w:sz w:val="36"/>
          <w:szCs w:val="36"/>
          <w:lang w:eastAsia="zh-CN"/>
        </w:rPr>
      </w:pPr>
      <w:bookmarkStart w:id="0" w:name="_Toc1296"/>
      <w:r>
        <w:rPr>
          <w:rFonts w:hint="eastAsia" w:ascii="仿宋" w:hAnsi="仿宋" w:eastAsia="仿宋" w:cs="仿宋"/>
          <w:b/>
          <w:bCs/>
          <w:color w:val="auto"/>
          <w:sz w:val="36"/>
          <w:szCs w:val="36"/>
          <w:lang w:eastAsia="zh-CN"/>
        </w:rPr>
        <w:t>目录</w:t>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color w:val="auto"/>
        </w:rPr>
        <w:instrText xml:space="preserve">TOC \o "1-2" \h \u </w:instrText>
      </w:r>
      <w:r>
        <w:rPr>
          <w:rFonts w:hint="eastAsia" w:ascii="仿宋" w:hAnsi="仿宋" w:eastAsia="仿宋" w:cs="仿宋"/>
          <w:color w:val="auto"/>
        </w:rPr>
        <w:fldChar w:fldCharType="separate"/>
      </w:r>
      <w:r>
        <w:rPr>
          <w:rFonts w:hint="eastAsia" w:ascii="仿宋" w:hAnsi="仿宋" w:eastAsia="仿宋" w:cs="仿宋"/>
          <w:color w:val="auto"/>
        </w:rPr>
        <w:fldChar w:fldCharType="begin"/>
      </w:r>
      <w:r>
        <w:rPr>
          <w:rFonts w:hint="eastAsia" w:ascii="仿宋" w:hAnsi="仿宋" w:eastAsia="仿宋" w:cs="仿宋"/>
        </w:rPr>
        <w:instrText xml:space="preserve"> HYPERLINK \l _Toc19731 </w:instrText>
      </w:r>
      <w:r>
        <w:rPr>
          <w:rFonts w:hint="eastAsia" w:ascii="仿宋" w:hAnsi="仿宋" w:eastAsia="仿宋" w:cs="仿宋"/>
        </w:rPr>
        <w:fldChar w:fldCharType="separate"/>
      </w:r>
      <w:r>
        <w:rPr>
          <w:rFonts w:hint="default" w:ascii="Times New Roman" w:hAnsi="Times New Roman" w:eastAsia="仿宋GB_2312" w:cs="Times New Roman"/>
          <w:szCs w:val="36"/>
        </w:rPr>
        <w:t>1</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前言</w:t>
      </w:r>
      <w:r>
        <w:tab/>
      </w:r>
      <w:r>
        <w:fldChar w:fldCharType="begin"/>
      </w:r>
      <w:r>
        <w:instrText xml:space="preserve"> PAGEREF _Toc19731 </w:instrText>
      </w:r>
      <w:r>
        <w:fldChar w:fldCharType="separate"/>
      </w:r>
      <w:r>
        <w:t>- 1 -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_Toc4017 </w:instrText>
      </w:r>
      <w:r>
        <w:rPr>
          <w:rFonts w:hint="eastAsia" w:ascii="仿宋" w:hAnsi="仿宋" w:eastAsia="仿宋" w:cs="仿宋"/>
        </w:rPr>
        <w:fldChar w:fldCharType="separate"/>
      </w:r>
      <w:r>
        <w:rPr>
          <w:rFonts w:hint="default" w:ascii="Times New Roman" w:hAnsi="Times New Roman" w:eastAsia="仿宋GB_2312" w:cs="Times New Roman"/>
          <w:szCs w:val="36"/>
        </w:rPr>
        <w:t>2</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总则</w:t>
      </w:r>
      <w:r>
        <w:tab/>
      </w:r>
      <w:r>
        <w:fldChar w:fldCharType="begin"/>
      </w:r>
      <w:r>
        <w:instrText xml:space="preserve"> PAGEREF _Toc4017 </w:instrText>
      </w:r>
      <w:r>
        <w:fldChar w:fldCharType="separate"/>
      </w:r>
      <w:r>
        <w:t>- 2 -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_Toc4327 </w:instrText>
      </w:r>
      <w:r>
        <w:rPr>
          <w:rFonts w:hint="eastAsia" w:ascii="仿宋" w:hAnsi="仿宋" w:eastAsia="仿宋" w:cs="仿宋"/>
        </w:rPr>
        <w:fldChar w:fldCharType="separate"/>
      </w:r>
      <w:r>
        <w:rPr>
          <w:rFonts w:hint="default" w:ascii="Times New Roman" w:hAnsi="Times New Roman" w:cs="Times New Roman"/>
          <w:szCs w:val="30"/>
        </w:rPr>
        <w:t>2.1</w:t>
      </w:r>
      <w:r>
        <w:rPr>
          <w:rFonts w:hint="eastAsia" w:ascii="Times New Roman" w:hAnsi="Times New Roman" w:cs="Times New Roman"/>
          <w:szCs w:val="30"/>
          <w:lang w:val="en-US" w:eastAsia="zh-CN"/>
        </w:rPr>
        <w:t xml:space="preserve"> </w:t>
      </w:r>
      <w:r>
        <w:rPr>
          <w:rFonts w:hint="default" w:ascii="Times New Roman" w:hAnsi="Times New Roman" w:cs="Times New Roman"/>
          <w:szCs w:val="30"/>
        </w:rPr>
        <w:t>编制原则</w:t>
      </w:r>
      <w:r>
        <w:tab/>
      </w:r>
      <w:r>
        <w:fldChar w:fldCharType="begin"/>
      </w:r>
      <w:r>
        <w:instrText xml:space="preserve"> PAGEREF _Toc4327 </w:instrText>
      </w:r>
      <w:r>
        <w:fldChar w:fldCharType="separate"/>
      </w:r>
      <w:r>
        <w:t>- 2 -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_Toc17802 </w:instrText>
      </w:r>
      <w:r>
        <w:rPr>
          <w:rFonts w:hint="eastAsia" w:ascii="仿宋" w:hAnsi="仿宋" w:eastAsia="仿宋" w:cs="仿宋"/>
        </w:rPr>
        <w:fldChar w:fldCharType="separate"/>
      </w:r>
      <w:r>
        <w:rPr>
          <w:rFonts w:hint="eastAsia" w:ascii="Times New Roman" w:hAnsi="Times New Roman" w:cs="Times New Roman"/>
          <w:szCs w:val="30"/>
          <w:lang w:val="en-US" w:eastAsia="zh-CN"/>
        </w:rPr>
        <w:t>2</w:t>
      </w:r>
      <w:r>
        <w:rPr>
          <w:rFonts w:hint="default" w:ascii="Times New Roman" w:hAnsi="Times New Roman" w:cs="Times New Roman"/>
          <w:szCs w:val="30"/>
          <w:lang w:val="en-US" w:eastAsia="zh-CN"/>
        </w:rPr>
        <w:t>.2</w:t>
      </w:r>
      <w:r>
        <w:rPr>
          <w:rFonts w:hint="eastAsia" w:ascii="Times New Roman" w:hAnsi="Times New Roman" w:cs="Times New Roman"/>
          <w:szCs w:val="30"/>
          <w:lang w:val="en-US" w:eastAsia="zh-CN"/>
        </w:rPr>
        <w:t xml:space="preserve"> </w:t>
      </w:r>
      <w:r>
        <w:rPr>
          <w:rFonts w:hint="default" w:ascii="Times New Roman" w:hAnsi="Times New Roman" w:cs="Times New Roman"/>
          <w:szCs w:val="30"/>
          <w:lang w:val="en-US" w:eastAsia="zh-CN"/>
        </w:rPr>
        <w:t>编制依据</w:t>
      </w:r>
      <w:r>
        <w:tab/>
      </w:r>
      <w:r>
        <w:fldChar w:fldCharType="begin"/>
      </w:r>
      <w:r>
        <w:instrText xml:space="preserve"> PAGEREF _Toc17802 </w:instrText>
      </w:r>
      <w:r>
        <w:fldChar w:fldCharType="separate"/>
      </w:r>
      <w:r>
        <w:t>- 2 -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_Toc1151 </w:instrText>
      </w:r>
      <w:r>
        <w:rPr>
          <w:rFonts w:hint="eastAsia" w:ascii="仿宋" w:hAnsi="仿宋" w:eastAsia="仿宋" w:cs="仿宋"/>
        </w:rPr>
        <w:fldChar w:fldCharType="separate"/>
      </w:r>
      <w:r>
        <w:rPr>
          <w:rFonts w:hint="default" w:ascii="Times New Roman" w:hAnsi="Times New Roman" w:cs="Times New Roman"/>
          <w:szCs w:val="30"/>
        </w:rPr>
        <w:t>2.3</w:t>
      </w:r>
      <w:r>
        <w:rPr>
          <w:rFonts w:hint="eastAsia" w:ascii="Times New Roman" w:hAnsi="Times New Roman" w:cs="Times New Roman"/>
          <w:szCs w:val="30"/>
          <w:lang w:val="en-US" w:eastAsia="zh-CN"/>
        </w:rPr>
        <w:t xml:space="preserve"> </w:t>
      </w:r>
      <w:r>
        <w:rPr>
          <w:rFonts w:hint="default" w:ascii="Times New Roman" w:hAnsi="Times New Roman" w:cs="Times New Roman"/>
          <w:szCs w:val="30"/>
        </w:rPr>
        <w:t>企业突发环境事件风险评估程序</w:t>
      </w:r>
      <w:r>
        <w:tab/>
      </w:r>
      <w:r>
        <w:fldChar w:fldCharType="begin"/>
      </w:r>
      <w:r>
        <w:instrText xml:space="preserve"> PAGEREF _Toc1151 </w:instrText>
      </w:r>
      <w:r>
        <w:fldChar w:fldCharType="separate"/>
      </w:r>
      <w:r>
        <w:t>- 3 -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_Toc24563 </w:instrText>
      </w:r>
      <w:r>
        <w:rPr>
          <w:rFonts w:hint="eastAsia" w:ascii="仿宋" w:hAnsi="仿宋" w:eastAsia="仿宋" w:cs="仿宋"/>
        </w:rPr>
        <w:fldChar w:fldCharType="separate"/>
      </w:r>
      <w:r>
        <w:rPr>
          <w:rFonts w:hint="default" w:ascii="Times New Roman" w:hAnsi="Times New Roman" w:eastAsia="仿宋GB_2312" w:cs="Times New Roman"/>
          <w:szCs w:val="36"/>
        </w:rPr>
        <w:t>3</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资料准备与环境风险识别</w:t>
      </w:r>
      <w:r>
        <w:tab/>
      </w:r>
      <w:r>
        <w:fldChar w:fldCharType="begin"/>
      </w:r>
      <w:r>
        <w:instrText xml:space="preserve"> PAGEREF _Toc24563 </w:instrText>
      </w:r>
      <w:r>
        <w:fldChar w:fldCharType="separate"/>
      </w:r>
      <w:r>
        <w:t>- 5 -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_Toc14286 </w:instrText>
      </w:r>
      <w:r>
        <w:rPr>
          <w:rFonts w:hint="eastAsia" w:ascii="仿宋" w:hAnsi="仿宋" w:eastAsia="仿宋" w:cs="仿宋"/>
        </w:rPr>
        <w:fldChar w:fldCharType="separate"/>
      </w:r>
      <w:r>
        <w:rPr>
          <w:rFonts w:hint="default" w:ascii="Times New Roman" w:hAnsi="Times New Roman" w:cs="Times New Roman"/>
          <w:szCs w:val="30"/>
          <w:lang w:val="en-US" w:eastAsia="zh-CN"/>
        </w:rPr>
        <w:t>3.1</w:t>
      </w:r>
      <w:r>
        <w:rPr>
          <w:rFonts w:hint="eastAsia" w:ascii="Times New Roman" w:hAnsi="Times New Roman" w:cs="Times New Roman"/>
          <w:szCs w:val="30"/>
          <w:lang w:val="en-US" w:eastAsia="zh-CN"/>
        </w:rPr>
        <w:t xml:space="preserve"> </w:t>
      </w:r>
      <w:r>
        <w:rPr>
          <w:rFonts w:hint="eastAsia" w:ascii="Times New Roman" w:hAnsi="Times New Roman" w:cs="Times New Roman"/>
          <w:szCs w:val="30"/>
          <w:lang w:eastAsia="zh-CN"/>
        </w:rPr>
        <w:t>公司基本情况</w:t>
      </w:r>
      <w:r>
        <w:tab/>
      </w:r>
      <w:r>
        <w:fldChar w:fldCharType="begin"/>
      </w:r>
      <w:r>
        <w:instrText xml:space="preserve"> PAGEREF _Toc14286 </w:instrText>
      </w:r>
      <w:r>
        <w:fldChar w:fldCharType="separate"/>
      </w:r>
      <w:r>
        <w:t>- 5 -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_Toc3237 </w:instrText>
      </w:r>
      <w:r>
        <w:rPr>
          <w:rFonts w:hint="eastAsia" w:ascii="仿宋" w:hAnsi="仿宋" w:eastAsia="仿宋" w:cs="仿宋"/>
        </w:rPr>
        <w:fldChar w:fldCharType="separate"/>
      </w:r>
      <w:r>
        <w:rPr>
          <w:rFonts w:hint="eastAsia" w:ascii="Times New Roman" w:hAnsi="Times New Roman" w:cs="Times New Roman"/>
          <w:szCs w:val="30"/>
          <w:lang w:val="en-US" w:eastAsia="zh-CN"/>
        </w:rPr>
        <w:t>3</w:t>
      </w:r>
      <w:r>
        <w:rPr>
          <w:rFonts w:hint="default" w:ascii="Times New Roman" w:hAnsi="Times New Roman" w:cs="Times New Roman"/>
          <w:szCs w:val="30"/>
          <w:lang w:val="en-US" w:eastAsia="zh-CN"/>
        </w:rPr>
        <w:t>.</w:t>
      </w:r>
      <w:r>
        <w:rPr>
          <w:rFonts w:hint="eastAsia" w:ascii="Times New Roman" w:hAnsi="Times New Roman" w:cs="Times New Roman"/>
          <w:szCs w:val="30"/>
          <w:lang w:val="en-US" w:eastAsia="zh-CN"/>
        </w:rPr>
        <w:t xml:space="preserve">2 </w:t>
      </w:r>
      <w:r>
        <w:rPr>
          <w:rFonts w:hint="default" w:ascii="Times New Roman" w:hAnsi="Times New Roman" w:cs="Times New Roman"/>
          <w:szCs w:val="30"/>
          <w:lang w:val="en-US" w:eastAsia="zh-CN"/>
        </w:rPr>
        <w:t>自然环境</w:t>
      </w:r>
      <w:r>
        <w:tab/>
      </w:r>
      <w:r>
        <w:fldChar w:fldCharType="begin"/>
      </w:r>
      <w:r>
        <w:instrText xml:space="preserve"> PAGEREF _Toc3237 </w:instrText>
      </w:r>
      <w:r>
        <w:fldChar w:fldCharType="separate"/>
      </w:r>
      <w:r>
        <w:t>- 5 -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_Toc18647 </w:instrText>
      </w:r>
      <w:r>
        <w:rPr>
          <w:rFonts w:hint="eastAsia" w:ascii="仿宋" w:hAnsi="仿宋" w:eastAsia="仿宋" w:cs="仿宋"/>
        </w:rPr>
        <w:fldChar w:fldCharType="separate"/>
      </w:r>
      <w:r>
        <w:rPr>
          <w:rFonts w:hint="default" w:ascii="Times New Roman" w:hAnsi="Times New Roman" w:cs="Times New Roman"/>
          <w:szCs w:val="30"/>
          <w:lang w:val="en-US" w:eastAsia="zh-CN"/>
        </w:rPr>
        <w:t>3.</w:t>
      </w:r>
      <w:r>
        <w:rPr>
          <w:rFonts w:hint="eastAsia" w:ascii="Times New Roman" w:hAnsi="Times New Roman" w:cs="Times New Roman"/>
          <w:szCs w:val="30"/>
          <w:lang w:val="en-US" w:eastAsia="zh-CN"/>
        </w:rPr>
        <w:t>3 工艺简介</w:t>
      </w:r>
      <w:r>
        <w:tab/>
      </w:r>
      <w:r>
        <w:fldChar w:fldCharType="begin"/>
      </w:r>
      <w:r>
        <w:instrText xml:space="preserve"> PAGEREF _Toc18647 </w:instrText>
      </w:r>
      <w:r>
        <w:fldChar w:fldCharType="separate"/>
      </w:r>
      <w:r>
        <w:t>- 8 -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_Toc26530 </w:instrText>
      </w:r>
      <w:r>
        <w:rPr>
          <w:rFonts w:hint="eastAsia" w:ascii="仿宋" w:hAnsi="仿宋" w:eastAsia="仿宋" w:cs="仿宋"/>
        </w:rPr>
        <w:fldChar w:fldCharType="separate"/>
      </w:r>
      <w:r>
        <w:rPr>
          <w:rFonts w:hint="default" w:ascii="Times New Roman" w:hAnsi="Times New Roman" w:cs="Times New Roman"/>
          <w:lang w:val="en-US" w:eastAsia="zh-CN"/>
        </w:rPr>
        <w:t>3.</w:t>
      </w:r>
      <w:r>
        <w:rPr>
          <w:rFonts w:hint="eastAsia" w:ascii="Times New Roman" w:hAnsi="Times New Roman" w:cs="Times New Roman"/>
          <w:lang w:val="en-US" w:eastAsia="zh-CN"/>
        </w:rPr>
        <w:t xml:space="preserve">4 </w:t>
      </w:r>
      <w:r>
        <w:rPr>
          <w:rFonts w:hint="default" w:ascii="Times New Roman" w:hAnsi="Times New Roman" w:cs="Times New Roman"/>
          <w:lang w:val="en-US" w:eastAsia="zh-CN"/>
        </w:rPr>
        <w:t>周边环境敏感点</w:t>
      </w:r>
      <w:r>
        <w:tab/>
      </w:r>
      <w:r>
        <w:fldChar w:fldCharType="begin"/>
      </w:r>
      <w:r>
        <w:instrText xml:space="preserve"> PAGEREF _Toc26530 </w:instrText>
      </w:r>
      <w:r>
        <w:fldChar w:fldCharType="separate"/>
      </w:r>
      <w:r>
        <w:t>- 14 -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_Toc30040 </w:instrText>
      </w:r>
      <w:r>
        <w:rPr>
          <w:rFonts w:hint="eastAsia" w:ascii="仿宋" w:hAnsi="仿宋" w:eastAsia="仿宋" w:cs="仿宋"/>
        </w:rPr>
        <w:fldChar w:fldCharType="separate"/>
      </w:r>
      <w:r>
        <w:rPr>
          <w:rFonts w:hint="default" w:ascii="Times New Roman" w:hAnsi="Times New Roman" w:cs="Times New Roman"/>
          <w:bCs w:val="0"/>
          <w:lang w:val="en-US" w:eastAsia="zh-CN"/>
        </w:rPr>
        <w:t>3.</w:t>
      </w:r>
      <w:r>
        <w:rPr>
          <w:rFonts w:hint="eastAsia" w:ascii="Times New Roman" w:hAnsi="Times New Roman" w:cs="Times New Roman"/>
          <w:bCs w:val="0"/>
          <w:lang w:val="en-US" w:eastAsia="zh-CN"/>
        </w:rPr>
        <w:t xml:space="preserve">5 </w:t>
      </w:r>
      <w:r>
        <w:rPr>
          <w:rFonts w:hint="default" w:ascii="Times New Roman" w:hAnsi="Times New Roman" w:cs="Times New Roman"/>
          <w:bCs w:val="0"/>
          <w:lang w:val="en-US" w:eastAsia="zh-CN"/>
        </w:rPr>
        <w:t>现有风险防控与应急措施情况</w:t>
      </w:r>
      <w:r>
        <w:tab/>
      </w:r>
      <w:r>
        <w:fldChar w:fldCharType="begin"/>
      </w:r>
      <w:r>
        <w:instrText xml:space="preserve"> PAGEREF _Toc30040 </w:instrText>
      </w:r>
      <w:r>
        <w:fldChar w:fldCharType="separate"/>
      </w:r>
      <w:r>
        <w:t>- 14 -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_Toc32178 </w:instrText>
      </w:r>
      <w:r>
        <w:rPr>
          <w:rFonts w:hint="eastAsia" w:ascii="仿宋" w:hAnsi="仿宋" w:eastAsia="仿宋" w:cs="仿宋"/>
        </w:rPr>
        <w:fldChar w:fldCharType="separate"/>
      </w:r>
      <w:r>
        <w:rPr>
          <w:rFonts w:hint="default" w:ascii="Times New Roman" w:hAnsi="Times New Roman" w:cs="Times New Roman"/>
          <w:szCs w:val="30"/>
          <w:lang w:val="en-US" w:eastAsia="zh-CN"/>
        </w:rPr>
        <w:t>3.</w:t>
      </w:r>
      <w:r>
        <w:rPr>
          <w:rFonts w:hint="eastAsia" w:ascii="Times New Roman" w:hAnsi="Times New Roman" w:cs="Times New Roman"/>
          <w:szCs w:val="30"/>
          <w:lang w:val="en-US" w:eastAsia="zh-CN"/>
        </w:rPr>
        <w:t xml:space="preserve">6 </w:t>
      </w:r>
      <w:r>
        <w:rPr>
          <w:rFonts w:hint="default" w:ascii="Times New Roman" w:hAnsi="Times New Roman" w:cs="Times New Roman"/>
          <w:szCs w:val="30"/>
          <w:lang w:val="en-US" w:eastAsia="zh-CN"/>
        </w:rPr>
        <w:t>现有应急</w:t>
      </w:r>
      <w:r>
        <w:rPr>
          <w:rFonts w:hint="eastAsia" w:ascii="Times New Roman" w:hAnsi="Times New Roman" w:cs="Times New Roman"/>
          <w:szCs w:val="30"/>
          <w:lang w:val="en-US" w:eastAsia="zh-CN"/>
        </w:rPr>
        <w:t>资源</w:t>
      </w:r>
      <w:r>
        <w:tab/>
      </w:r>
      <w:r>
        <w:fldChar w:fldCharType="begin"/>
      </w:r>
      <w:r>
        <w:instrText xml:space="preserve"> PAGEREF _Toc32178 </w:instrText>
      </w:r>
      <w:r>
        <w:fldChar w:fldCharType="separate"/>
      </w:r>
      <w:r>
        <w:t>- 16 -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_Toc27807 </w:instrText>
      </w:r>
      <w:r>
        <w:rPr>
          <w:rFonts w:hint="eastAsia" w:ascii="仿宋" w:hAnsi="仿宋" w:eastAsia="仿宋" w:cs="仿宋"/>
        </w:rPr>
        <w:fldChar w:fldCharType="separate"/>
      </w:r>
      <w:r>
        <w:rPr>
          <w:rFonts w:hint="default" w:ascii="Times New Roman" w:hAnsi="Times New Roman" w:eastAsia="仿宋GB_2312" w:cs="Times New Roman"/>
          <w:szCs w:val="36"/>
        </w:rPr>
        <w:t>4</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可能发生的突发环境事件及后果分析</w:t>
      </w:r>
      <w:r>
        <w:tab/>
      </w:r>
      <w:r>
        <w:fldChar w:fldCharType="begin"/>
      </w:r>
      <w:r>
        <w:instrText xml:space="preserve"> PAGEREF _Toc27807 </w:instrText>
      </w:r>
      <w:r>
        <w:fldChar w:fldCharType="separate"/>
      </w:r>
      <w:r>
        <w:t>- 19 -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_Toc29336 </w:instrText>
      </w:r>
      <w:r>
        <w:rPr>
          <w:rFonts w:hint="eastAsia" w:ascii="仿宋" w:hAnsi="仿宋" w:eastAsia="仿宋" w:cs="仿宋"/>
        </w:rPr>
        <w:fldChar w:fldCharType="separate"/>
      </w:r>
      <w:r>
        <w:rPr>
          <w:rFonts w:hint="default" w:ascii="Times New Roman" w:hAnsi="Times New Roman" w:cs="Times New Roman"/>
          <w:szCs w:val="30"/>
          <w:lang w:val="en-US" w:eastAsia="zh-CN"/>
        </w:rPr>
        <w:t>4.1</w:t>
      </w:r>
      <w:r>
        <w:rPr>
          <w:rFonts w:hint="eastAsia" w:ascii="Times New Roman" w:hAnsi="Times New Roman" w:cs="Times New Roman"/>
          <w:szCs w:val="30"/>
          <w:lang w:val="en-US" w:eastAsia="zh-CN"/>
        </w:rPr>
        <w:t xml:space="preserve"> </w:t>
      </w:r>
      <w:r>
        <w:rPr>
          <w:rFonts w:hint="default" w:ascii="Times New Roman" w:hAnsi="Times New Roman" w:cs="Times New Roman"/>
          <w:szCs w:val="30"/>
          <w:lang w:val="en-US" w:eastAsia="zh-CN"/>
        </w:rPr>
        <w:t>突发环境事件情景分析</w:t>
      </w:r>
      <w:r>
        <w:tab/>
      </w:r>
      <w:r>
        <w:fldChar w:fldCharType="begin"/>
      </w:r>
      <w:r>
        <w:instrText xml:space="preserve"> PAGEREF _Toc29336 </w:instrText>
      </w:r>
      <w:r>
        <w:fldChar w:fldCharType="separate"/>
      </w:r>
      <w:r>
        <w:t>- 19 -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_Toc26720 </w:instrText>
      </w:r>
      <w:r>
        <w:rPr>
          <w:rFonts w:hint="eastAsia" w:ascii="仿宋" w:hAnsi="仿宋" w:eastAsia="仿宋" w:cs="仿宋"/>
        </w:rPr>
        <w:fldChar w:fldCharType="separate"/>
      </w:r>
      <w:r>
        <w:rPr>
          <w:rFonts w:hint="default" w:ascii="Times New Roman" w:hAnsi="Times New Roman" w:cs="Times New Roman"/>
          <w:szCs w:val="30"/>
          <w:lang w:val="en-US" w:eastAsia="zh-CN"/>
        </w:rPr>
        <w:t>4.2突发环境事件风险源分析</w:t>
      </w:r>
      <w:r>
        <w:tab/>
      </w:r>
      <w:r>
        <w:fldChar w:fldCharType="begin"/>
      </w:r>
      <w:r>
        <w:instrText xml:space="preserve"> PAGEREF _Toc26720 </w:instrText>
      </w:r>
      <w:r>
        <w:fldChar w:fldCharType="separate"/>
      </w:r>
      <w:r>
        <w:t>- 22 -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_Toc12321 </w:instrText>
      </w:r>
      <w:r>
        <w:rPr>
          <w:rFonts w:hint="eastAsia" w:ascii="仿宋" w:hAnsi="仿宋" w:eastAsia="仿宋" w:cs="仿宋"/>
        </w:rPr>
        <w:fldChar w:fldCharType="separate"/>
      </w:r>
      <w:r>
        <w:rPr>
          <w:rFonts w:hint="default" w:ascii="Times New Roman" w:hAnsi="Times New Roman" w:cs="Times New Roman"/>
          <w:szCs w:val="30"/>
          <w:lang w:val="en-US" w:eastAsia="zh-CN"/>
        </w:rPr>
        <w:t>4.3</w:t>
      </w:r>
      <w:r>
        <w:rPr>
          <w:rFonts w:hint="eastAsia" w:ascii="Times New Roman" w:hAnsi="Times New Roman" w:cs="Times New Roman"/>
          <w:szCs w:val="30"/>
          <w:lang w:val="en-US" w:eastAsia="zh-CN"/>
        </w:rPr>
        <w:t xml:space="preserve"> </w:t>
      </w:r>
      <w:r>
        <w:rPr>
          <w:rFonts w:hint="default" w:ascii="Times New Roman" w:hAnsi="Times New Roman" w:cs="Times New Roman"/>
          <w:szCs w:val="30"/>
          <w:lang w:val="en-US" w:eastAsia="zh-CN"/>
        </w:rPr>
        <w:t>环境风险防控与应急措施</w:t>
      </w:r>
      <w:r>
        <w:tab/>
      </w:r>
      <w:r>
        <w:fldChar w:fldCharType="begin"/>
      </w:r>
      <w:r>
        <w:instrText xml:space="preserve"> PAGEREF _Toc12321 </w:instrText>
      </w:r>
      <w:r>
        <w:fldChar w:fldCharType="separate"/>
      </w:r>
      <w:r>
        <w:t>- 24 -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_Toc23809 </w:instrText>
      </w:r>
      <w:r>
        <w:rPr>
          <w:rFonts w:hint="eastAsia" w:ascii="仿宋" w:hAnsi="仿宋" w:eastAsia="仿宋" w:cs="仿宋"/>
        </w:rPr>
        <w:fldChar w:fldCharType="separate"/>
      </w:r>
      <w:r>
        <w:rPr>
          <w:rFonts w:hint="default" w:ascii="Times New Roman" w:hAnsi="Times New Roman" w:eastAsia="仿宋GB_2312" w:cs="Times New Roman"/>
          <w:szCs w:val="36"/>
        </w:rPr>
        <w:t>5</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现有环境风险防控和应急措施差距分析</w:t>
      </w:r>
      <w:r>
        <w:tab/>
      </w:r>
      <w:r>
        <w:fldChar w:fldCharType="begin"/>
      </w:r>
      <w:r>
        <w:instrText xml:space="preserve"> PAGEREF _Toc23809 </w:instrText>
      </w:r>
      <w:r>
        <w:fldChar w:fldCharType="separate"/>
      </w:r>
      <w:r>
        <w:t>- 28 -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_Toc2979 </w:instrText>
      </w:r>
      <w:r>
        <w:rPr>
          <w:rFonts w:hint="eastAsia" w:ascii="仿宋" w:hAnsi="仿宋" w:eastAsia="仿宋" w:cs="仿宋"/>
        </w:rPr>
        <w:fldChar w:fldCharType="separate"/>
      </w:r>
      <w:r>
        <w:rPr>
          <w:rFonts w:hint="default" w:ascii="Times New Roman" w:hAnsi="Times New Roman" w:cs="Times New Roman"/>
          <w:szCs w:val="30"/>
          <w:lang w:val="en-US" w:eastAsia="zh-CN"/>
        </w:rPr>
        <w:t>5.1</w:t>
      </w:r>
      <w:r>
        <w:rPr>
          <w:rFonts w:hint="eastAsia" w:ascii="Times New Roman" w:hAnsi="Times New Roman" w:cs="Times New Roman"/>
          <w:szCs w:val="30"/>
          <w:lang w:val="en-US" w:eastAsia="zh-CN"/>
        </w:rPr>
        <w:t xml:space="preserve"> </w:t>
      </w:r>
      <w:r>
        <w:rPr>
          <w:rFonts w:hint="default" w:ascii="Times New Roman" w:hAnsi="Times New Roman" w:cs="Times New Roman"/>
          <w:szCs w:val="30"/>
          <w:lang w:val="en-US" w:eastAsia="zh-CN"/>
        </w:rPr>
        <w:t>项目风险管理制度</w:t>
      </w:r>
      <w:r>
        <w:tab/>
      </w:r>
      <w:r>
        <w:fldChar w:fldCharType="begin"/>
      </w:r>
      <w:r>
        <w:instrText xml:space="preserve"> PAGEREF _Toc2979 </w:instrText>
      </w:r>
      <w:r>
        <w:fldChar w:fldCharType="separate"/>
      </w:r>
      <w:r>
        <w:t>- 28 -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_Toc23272 </w:instrText>
      </w:r>
      <w:r>
        <w:rPr>
          <w:rFonts w:hint="eastAsia" w:ascii="仿宋" w:hAnsi="仿宋" w:eastAsia="仿宋" w:cs="仿宋"/>
        </w:rPr>
        <w:fldChar w:fldCharType="separate"/>
      </w:r>
      <w:r>
        <w:rPr>
          <w:rFonts w:hint="default" w:ascii="Times New Roman" w:hAnsi="Times New Roman" w:cs="Times New Roman"/>
          <w:szCs w:val="30"/>
          <w:lang w:val="en-US" w:eastAsia="zh-CN"/>
        </w:rPr>
        <w:t>5.2</w:t>
      </w:r>
      <w:r>
        <w:rPr>
          <w:rFonts w:hint="eastAsia" w:ascii="Times New Roman" w:hAnsi="Times New Roman" w:cs="Times New Roman"/>
          <w:szCs w:val="30"/>
          <w:lang w:val="en-US" w:eastAsia="zh-CN"/>
        </w:rPr>
        <w:t xml:space="preserve"> </w:t>
      </w:r>
      <w:r>
        <w:rPr>
          <w:rFonts w:hint="default" w:ascii="Times New Roman" w:hAnsi="Times New Roman" w:cs="Times New Roman"/>
          <w:szCs w:val="30"/>
          <w:lang w:val="en-US" w:eastAsia="zh-CN"/>
        </w:rPr>
        <w:t>环境风险防控与应急措施差距分析</w:t>
      </w:r>
      <w:r>
        <w:tab/>
      </w:r>
      <w:r>
        <w:fldChar w:fldCharType="begin"/>
      </w:r>
      <w:r>
        <w:instrText xml:space="preserve"> PAGEREF _Toc23272 </w:instrText>
      </w:r>
      <w:r>
        <w:fldChar w:fldCharType="separate"/>
      </w:r>
      <w:r>
        <w:t>- 28 -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_Toc10956 </w:instrText>
      </w:r>
      <w:r>
        <w:rPr>
          <w:rFonts w:hint="eastAsia" w:ascii="仿宋" w:hAnsi="仿宋" w:eastAsia="仿宋" w:cs="仿宋"/>
        </w:rPr>
        <w:fldChar w:fldCharType="separate"/>
      </w:r>
      <w:r>
        <w:rPr>
          <w:rFonts w:hint="default" w:ascii="Times New Roman" w:hAnsi="Times New Roman" w:cs="Times New Roman"/>
          <w:szCs w:val="30"/>
          <w:lang w:val="en-US" w:eastAsia="zh-CN"/>
        </w:rPr>
        <w:t>5.</w:t>
      </w:r>
      <w:r>
        <w:rPr>
          <w:rFonts w:hint="eastAsia" w:ascii="Times New Roman" w:hAnsi="Times New Roman" w:cs="Times New Roman"/>
          <w:szCs w:val="30"/>
          <w:lang w:val="en-US" w:eastAsia="zh-CN"/>
        </w:rPr>
        <w:t xml:space="preserve">3 </w:t>
      </w:r>
      <w:r>
        <w:rPr>
          <w:rFonts w:hint="default" w:ascii="Times New Roman" w:hAnsi="Times New Roman" w:cs="Times New Roman"/>
          <w:szCs w:val="30"/>
          <w:lang w:val="en-US" w:eastAsia="zh-CN"/>
        </w:rPr>
        <w:t>需要整改的短期、中期和长期项目内容</w:t>
      </w:r>
      <w:r>
        <w:tab/>
      </w:r>
      <w:r>
        <w:fldChar w:fldCharType="begin"/>
      </w:r>
      <w:r>
        <w:instrText xml:space="preserve"> PAGEREF _Toc10956 </w:instrText>
      </w:r>
      <w:r>
        <w:fldChar w:fldCharType="separate"/>
      </w:r>
      <w:r>
        <w:t>- 29 -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_Toc21627 </w:instrText>
      </w:r>
      <w:r>
        <w:rPr>
          <w:rFonts w:hint="eastAsia" w:ascii="仿宋" w:hAnsi="仿宋" w:eastAsia="仿宋" w:cs="仿宋"/>
        </w:rPr>
        <w:fldChar w:fldCharType="separate"/>
      </w:r>
      <w:r>
        <w:rPr>
          <w:rFonts w:hint="default" w:ascii="Times New Roman" w:hAnsi="Times New Roman" w:cs="Times New Roman"/>
        </w:rPr>
        <w:t>6</w:t>
      </w:r>
      <w:r>
        <w:rPr>
          <w:rFonts w:hint="eastAsia" w:ascii="Times New Roman" w:hAnsi="Times New Roman" w:cs="Times New Roman"/>
          <w:lang w:val="en-US" w:eastAsia="zh-CN"/>
        </w:rPr>
        <w:t xml:space="preserve"> </w:t>
      </w:r>
      <w:r>
        <w:rPr>
          <w:rFonts w:hint="default" w:ascii="Times New Roman" w:hAnsi="Times New Roman" w:cs="Times New Roman"/>
        </w:rPr>
        <w:t>完善环境风险防控和应急措施的实施计划</w:t>
      </w:r>
      <w:r>
        <w:tab/>
      </w:r>
      <w:r>
        <w:fldChar w:fldCharType="begin"/>
      </w:r>
      <w:r>
        <w:instrText xml:space="preserve"> PAGEREF _Toc21627 </w:instrText>
      </w:r>
      <w:r>
        <w:fldChar w:fldCharType="separate"/>
      </w:r>
      <w:r>
        <w:t>- 30 -</w:t>
      </w:r>
      <w:r>
        <w:fldChar w:fldCharType="end"/>
      </w:r>
      <w:r>
        <w:rPr>
          <w:rFonts w:hint="eastAsia" w:ascii="仿宋" w:hAnsi="仿宋" w:eastAsia="仿宋" w:cs="仿宋"/>
          <w:color w:val="auto"/>
        </w:rPr>
        <w:fldChar w:fldCharType="end"/>
      </w:r>
    </w:p>
    <w:p>
      <w:pPr>
        <w:pStyle w:val="14"/>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_Toc21519 </w:instrText>
      </w:r>
      <w:r>
        <w:rPr>
          <w:rFonts w:hint="eastAsia" w:ascii="仿宋" w:hAnsi="仿宋" w:eastAsia="仿宋" w:cs="仿宋"/>
        </w:rPr>
        <w:fldChar w:fldCharType="separate"/>
      </w:r>
      <w:r>
        <w:rPr>
          <w:rFonts w:hint="default" w:ascii="Times New Roman" w:hAnsi="Times New Roman" w:eastAsia="仿宋GB_2312" w:cs="Times New Roman"/>
          <w:szCs w:val="36"/>
        </w:rPr>
        <w:t>7</w:t>
      </w:r>
      <w:r>
        <w:rPr>
          <w:rFonts w:hint="eastAsia" w:ascii="Times New Roman" w:hAnsi="Times New Roman" w:eastAsia="仿宋GB_2312" w:cs="Times New Roman"/>
          <w:szCs w:val="36"/>
          <w:lang w:val="en-US" w:eastAsia="zh-CN"/>
        </w:rPr>
        <w:t xml:space="preserve"> </w:t>
      </w:r>
      <w:r>
        <w:rPr>
          <w:rFonts w:hint="default" w:ascii="Times New Roman" w:hAnsi="Times New Roman" w:eastAsia="仿宋GB_2312" w:cs="Times New Roman"/>
          <w:szCs w:val="36"/>
        </w:rPr>
        <w:t>企业突发环境事件风险等级</w:t>
      </w:r>
      <w:r>
        <w:tab/>
      </w:r>
      <w:r>
        <w:fldChar w:fldCharType="begin"/>
      </w:r>
      <w:r>
        <w:instrText xml:space="preserve"> PAGEREF _Toc21519 </w:instrText>
      </w:r>
      <w:r>
        <w:fldChar w:fldCharType="separate"/>
      </w:r>
      <w:r>
        <w:t>- 31 -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_Toc17760 </w:instrText>
      </w:r>
      <w:r>
        <w:rPr>
          <w:rFonts w:hint="eastAsia" w:ascii="仿宋" w:hAnsi="仿宋" w:eastAsia="仿宋" w:cs="仿宋"/>
        </w:rPr>
        <w:fldChar w:fldCharType="separate"/>
      </w:r>
      <w:r>
        <w:rPr>
          <w:rFonts w:hint="default" w:ascii="Times New Roman" w:hAnsi="Times New Roman" w:eastAsia="仿宋GB_2312" w:cs="Times New Roman"/>
          <w:szCs w:val="32"/>
          <w:highlight w:val="none"/>
        </w:rPr>
        <w:t>7.1企业突发环境事件风险等级</w:t>
      </w:r>
      <w:r>
        <w:tab/>
      </w:r>
      <w:r>
        <w:fldChar w:fldCharType="begin"/>
      </w:r>
      <w:r>
        <w:instrText xml:space="preserve"> PAGEREF _Toc17760 </w:instrText>
      </w:r>
      <w:r>
        <w:fldChar w:fldCharType="separate"/>
      </w:r>
      <w:r>
        <w:t>- 31 -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_Toc12147 </w:instrText>
      </w:r>
      <w:r>
        <w:rPr>
          <w:rFonts w:hint="eastAsia" w:ascii="仿宋" w:hAnsi="仿宋" w:eastAsia="仿宋" w:cs="仿宋"/>
        </w:rPr>
        <w:fldChar w:fldCharType="separate"/>
      </w:r>
      <w:r>
        <w:rPr>
          <w:rFonts w:hint="default" w:ascii="Times New Roman" w:hAnsi="Times New Roman" w:eastAsia="仿宋GB_2312" w:cs="Times New Roman"/>
          <w:szCs w:val="32"/>
          <w:highlight w:val="none"/>
          <w:lang w:val="en-US" w:eastAsia="zh-CN"/>
        </w:rPr>
        <w:t>7.</w:t>
      </w:r>
      <w:r>
        <w:rPr>
          <w:rFonts w:hint="eastAsia" w:ascii="Times New Roman" w:hAnsi="Times New Roman" w:eastAsia="仿宋GB_2312" w:cs="Times New Roman"/>
          <w:szCs w:val="32"/>
          <w:highlight w:val="none"/>
          <w:lang w:val="en-US" w:eastAsia="zh-CN"/>
        </w:rPr>
        <w:t>2 突发大气环境事件风险分级</w:t>
      </w:r>
      <w:r>
        <w:tab/>
      </w:r>
      <w:r>
        <w:fldChar w:fldCharType="begin"/>
      </w:r>
      <w:r>
        <w:instrText xml:space="preserve"> PAGEREF _Toc12147 </w:instrText>
      </w:r>
      <w:r>
        <w:fldChar w:fldCharType="separate"/>
      </w:r>
      <w:r>
        <w:t>- 31 -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_Toc19606 </w:instrText>
      </w:r>
      <w:r>
        <w:rPr>
          <w:rFonts w:hint="eastAsia" w:ascii="仿宋" w:hAnsi="仿宋" w:eastAsia="仿宋" w:cs="仿宋"/>
        </w:rPr>
        <w:fldChar w:fldCharType="separate"/>
      </w:r>
      <w:r>
        <w:rPr>
          <w:rFonts w:hint="default" w:ascii="Times New Roman" w:hAnsi="Times New Roman" w:cs="Times New Roman"/>
          <w:szCs w:val="30"/>
          <w:lang w:val="en-US" w:eastAsia="zh-CN"/>
        </w:rPr>
        <w:t>7.</w:t>
      </w:r>
      <w:r>
        <w:rPr>
          <w:rFonts w:hint="eastAsia" w:ascii="Times New Roman" w:hAnsi="Times New Roman" w:cs="Times New Roman"/>
          <w:szCs w:val="30"/>
          <w:lang w:val="en-US" w:eastAsia="zh-CN"/>
        </w:rPr>
        <w:t>3 突发水环境事件风险分级</w:t>
      </w:r>
      <w:r>
        <w:tab/>
      </w:r>
      <w:r>
        <w:fldChar w:fldCharType="begin"/>
      </w:r>
      <w:r>
        <w:instrText xml:space="preserve"> PAGEREF _Toc19606 </w:instrText>
      </w:r>
      <w:r>
        <w:fldChar w:fldCharType="separate"/>
      </w:r>
      <w:r>
        <w:t>- 32 -</w:t>
      </w:r>
      <w:r>
        <w:fldChar w:fldCharType="end"/>
      </w:r>
      <w:r>
        <w:rPr>
          <w:rFonts w:hint="eastAsia" w:ascii="仿宋" w:hAnsi="仿宋" w:eastAsia="仿宋" w:cs="仿宋"/>
          <w:color w:val="auto"/>
        </w:rPr>
        <w:fldChar w:fldCharType="end"/>
      </w:r>
    </w:p>
    <w:p>
      <w:pPr>
        <w:pStyle w:val="16"/>
        <w:tabs>
          <w:tab w:val="right" w:leader="dot" w:pos="8306"/>
        </w:tabs>
      </w:pPr>
      <w:r>
        <w:rPr>
          <w:rFonts w:hint="eastAsia" w:ascii="仿宋" w:hAnsi="仿宋" w:eastAsia="仿宋" w:cs="仿宋"/>
          <w:color w:val="auto"/>
        </w:rPr>
        <w:fldChar w:fldCharType="begin"/>
      </w:r>
      <w:r>
        <w:rPr>
          <w:rFonts w:hint="eastAsia" w:ascii="仿宋" w:hAnsi="仿宋" w:eastAsia="仿宋" w:cs="仿宋"/>
        </w:rPr>
        <w:instrText xml:space="preserve"> HYPERLINK \l _Toc25288 </w:instrText>
      </w:r>
      <w:r>
        <w:rPr>
          <w:rFonts w:hint="eastAsia" w:ascii="仿宋" w:hAnsi="仿宋" w:eastAsia="仿宋" w:cs="仿宋"/>
        </w:rPr>
        <w:fldChar w:fldCharType="separate"/>
      </w:r>
      <w:r>
        <w:rPr>
          <w:rFonts w:hint="eastAsia" w:ascii="Times New Roman" w:hAnsi="Times New Roman" w:cs="Times New Roman"/>
          <w:szCs w:val="30"/>
          <w:lang w:val="en-US" w:eastAsia="zh-CN"/>
        </w:rPr>
        <w:t>7.4 风险等级表征</w:t>
      </w:r>
      <w:r>
        <w:tab/>
      </w:r>
      <w:r>
        <w:fldChar w:fldCharType="begin"/>
      </w:r>
      <w:r>
        <w:instrText xml:space="preserve"> PAGEREF _Toc25288 </w:instrText>
      </w:r>
      <w:r>
        <w:fldChar w:fldCharType="separate"/>
      </w:r>
      <w:r>
        <w:t>- 32 -</w:t>
      </w:r>
      <w:r>
        <w:fldChar w:fldCharType="end"/>
      </w:r>
      <w:r>
        <w:rPr>
          <w:rFonts w:hint="eastAsia" w:ascii="仿宋" w:hAnsi="仿宋" w:eastAsia="仿宋" w:cs="仿宋"/>
          <w:color w:val="auto"/>
        </w:rPr>
        <w:fldChar w:fldCharType="end"/>
      </w:r>
    </w:p>
    <w:p>
      <w:pPr>
        <w:pStyle w:val="16"/>
        <w:tabs>
          <w:tab w:val="right" w:leader="dot" w:pos="8306"/>
        </w:tabs>
      </w:pP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firstLine="0" w:firstLineChars="0"/>
        <w:jc w:val="both"/>
        <w:textAlignment w:val="auto"/>
        <w:outlineLvl w:val="9"/>
        <w:rPr>
          <w:rFonts w:hint="default"/>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1"/>
          <w:cols w:space="425" w:num="1"/>
          <w:docGrid w:type="lines" w:linePitch="312" w:charSpace="0"/>
        </w:sectPr>
      </w:pPr>
      <w:r>
        <w:rPr>
          <w:rFonts w:hint="eastAsia" w:ascii="仿宋" w:hAnsi="仿宋" w:eastAsia="仿宋" w:cs="仿宋"/>
          <w:color w:val="auto"/>
        </w:rPr>
        <w:fldChar w:fldCharType="end"/>
      </w: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1" w:name="_Toc15586"/>
      <w:bookmarkStart w:id="2" w:name="_Toc19731"/>
      <w:r>
        <w:rPr>
          <w:rFonts w:hint="default" w:ascii="Times New Roman" w:hAnsi="Times New Roman" w:eastAsia="仿宋GB_2312" w:cs="Times New Roman"/>
          <w:color w:val="auto"/>
          <w:szCs w:val="36"/>
        </w:rPr>
        <w:t>1</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前言</w:t>
      </w:r>
      <w:bookmarkEnd w:id="0"/>
      <w:bookmarkEnd w:id="1"/>
      <w:bookmarkEnd w:id="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所谓环境风险是指突发性事件造成重大环境污染的事件，它具有危害性大、影响范围广等特点，同时风险发生的概率又有很大的不确定性，倘若一旦发生，其破坏性极强，对生态环境会产生严重破坏。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环境风险评估的目的是分析和预测建设项目存在的潜在危险、有害因素，建设项目建设和运行期间可能发生的突发性事件或事故（一般不包括人为破坏及自然灾害），引起有毒有害和易燃易爆等物质泄漏，所造成的人身安全与环境影响和损害程度，提出合理可行的防范、应急与减缓措施，使建设项目事故率、损失</w:t>
      </w:r>
      <w:r>
        <w:rPr>
          <w:rFonts w:hint="default" w:ascii="Times New Roman" w:hAnsi="Times New Roman" w:eastAsia="仿宋" w:cs="Times New Roman"/>
          <w:color w:val="auto"/>
          <w:szCs w:val="28"/>
          <w:lang w:eastAsia="zh-CN"/>
        </w:rPr>
        <w:t>率</w:t>
      </w:r>
      <w:r>
        <w:rPr>
          <w:rFonts w:hint="default" w:ascii="Times New Roman" w:hAnsi="Times New Roman" w:eastAsia="仿宋" w:cs="Times New Roman"/>
          <w:color w:val="auto"/>
          <w:szCs w:val="28"/>
        </w:rPr>
        <w:t>和环境影响能够达到可接受水平。在评估中把事故引起厂界外人群的伤害、环境质量的恶化以及防护作为评价重点，关注事故对厂界外环境的影响。</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lang w:eastAsia="zh-CN"/>
        </w:rPr>
        <w:t>根</w:t>
      </w:r>
      <w:r>
        <w:rPr>
          <w:rFonts w:hint="default" w:ascii="Times New Roman" w:hAnsi="Times New Roman" w:eastAsia="仿宋" w:cs="Times New Roman"/>
          <w:color w:val="auto"/>
          <w:szCs w:val="28"/>
        </w:rPr>
        <w:t>据《企业突发环境事件风险分级方法》（HJ 941-2018），</w:t>
      </w:r>
      <w:r>
        <w:rPr>
          <w:rFonts w:hint="eastAsia" w:ascii="Times New Roman" w:hAnsi="Times New Roman" w:cs="Times New Roman"/>
          <w:color w:val="auto"/>
          <w:lang w:val="en-US" w:eastAsia="zh-CN"/>
        </w:rPr>
        <w:t>咸阳市秦都区宏大建材厂</w:t>
      </w:r>
      <w:r>
        <w:rPr>
          <w:rFonts w:hint="default" w:ascii="Times New Roman" w:hAnsi="Times New Roman" w:eastAsia="仿宋" w:cs="Times New Roman"/>
          <w:color w:val="auto"/>
          <w:szCs w:val="28"/>
        </w:rPr>
        <w:t>需开展环境风险评估，分析企业各类事故衍化规律、自然灾害影响程度，识别环境危害因素，分析与周边可能受影响的居民、单位、区域环境的关系，确定环境风险等级。</w:t>
      </w:r>
    </w:p>
    <w:p>
      <w:pPr>
        <w:rPr>
          <w:color w:val="auto"/>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numberInDash" w:start="1"/>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3" w:name="_Toc12551"/>
      <w:bookmarkStart w:id="4" w:name="_Toc24711"/>
      <w:bookmarkStart w:id="5" w:name="_Toc4017"/>
      <w:bookmarkStart w:id="6" w:name="_Toc6066"/>
      <w:bookmarkStart w:id="7" w:name="_Toc21215"/>
      <w:bookmarkStart w:id="8" w:name="_Toc29626"/>
      <w:r>
        <w:rPr>
          <w:rFonts w:hint="default" w:ascii="Times New Roman" w:hAnsi="Times New Roman" w:eastAsia="仿宋GB_2312" w:cs="Times New Roman"/>
          <w:color w:val="auto"/>
          <w:szCs w:val="36"/>
        </w:rPr>
        <w:t>2</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总则</w:t>
      </w:r>
      <w:bookmarkEnd w:id="3"/>
      <w:bookmarkEnd w:id="4"/>
      <w:bookmarkEnd w:id="5"/>
      <w:bookmarkEnd w:id="6"/>
      <w:bookmarkEnd w:id="7"/>
      <w:bookmarkEnd w:id="8"/>
    </w:p>
    <w:p>
      <w:pPr>
        <w:pStyle w:val="2"/>
        <w:rPr>
          <w:rFonts w:hint="default" w:ascii="Times New Roman" w:hAnsi="Times New Roman" w:cs="Times New Roman"/>
          <w:color w:val="auto"/>
          <w:sz w:val="30"/>
          <w:szCs w:val="30"/>
        </w:rPr>
      </w:pPr>
      <w:bookmarkStart w:id="9" w:name="_Toc1523"/>
      <w:bookmarkStart w:id="10" w:name="_Toc3880"/>
      <w:bookmarkStart w:id="11" w:name="_Toc23551"/>
      <w:bookmarkStart w:id="12" w:name="_Toc11963"/>
      <w:bookmarkStart w:id="13" w:name="_Toc13658"/>
      <w:bookmarkStart w:id="14" w:name="_Toc4327"/>
      <w:r>
        <w:rPr>
          <w:rFonts w:hint="default" w:ascii="Times New Roman" w:hAnsi="Times New Roman" w:cs="Times New Roman"/>
          <w:color w:val="auto"/>
          <w:sz w:val="30"/>
          <w:szCs w:val="30"/>
        </w:rPr>
        <w:t>2.1</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rPr>
        <w:t>编制原则</w:t>
      </w:r>
      <w:bookmarkEnd w:id="9"/>
      <w:bookmarkEnd w:id="10"/>
      <w:bookmarkEnd w:id="11"/>
      <w:bookmarkEnd w:id="12"/>
      <w:bookmarkEnd w:id="13"/>
      <w:bookmarkEnd w:id="1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eastAsia="仿宋GB_2312" w:cs="Times New Roman"/>
          <w:color w:val="auto"/>
        </w:rPr>
      </w:pPr>
      <w:r>
        <w:rPr>
          <w:rFonts w:hint="default" w:ascii="Times New Roman" w:hAnsi="Times New Roman" w:eastAsia="仿宋GB_2312" w:cs="Times New Roman"/>
          <w:color w:val="auto"/>
          <w:szCs w:val="28"/>
        </w:rPr>
        <w:t>企业突发环境事件风险评估报告是对企业突发环境事件评估过程和结果的总体描述，是提供环境管理与风险决策的重要依据。报告编制应体现科学性、规范性、客观性和真实性的原则。</w:t>
      </w:r>
    </w:p>
    <w:p>
      <w:pPr>
        <w:pStyle w:val="2"/>
        <w:rPr>
          <w:rFonts w:hint="default" w:ascii="Times New Roman" w:hAnsi="Times New Roman" w:cs="Times New Roman"/>
          <w:color w:val="auto"/>
          <w:sz w:val="30"/>
          <w:szCs w:val="30"/>
          <w:lang w:val="en-US" w:eastAsia="zh-CN"/>
        </w:rPr>
      </w:pPr>
      <w:bookmarkStart w:id="15" w:name="_Toc4521"/>
      <w:bookmarkStart w:id="16" w:name="_Toc23009"/>
      <w:bookmarkStart w:id="17" w:name="_Toc29820"/>
      <w:bookmarkStart w:id="18" w:name="_Toc17802"/>
      <w:r>
        <w:rPr>
          <w:rFonts w:hint="eastAsia" w:ascii="Times New Roman" w:hAnsi="Times New Roman" w:cs="Times New Roman"/>
          <w:color w:val="auto"/>
          <w:sz w:val="30"/>
          <w:szCs w:val="30"/>
          <w:lang w:val="en-US" w:eastAsia="zh-CN"/>
        </w:rPr>
        <w:t>2</w:t>
      </w:r>
      <w:r>
        <w:rPr>
          <w:rFonts w:hint="default" w:ascii="Times New Roman" w:hAnsi="Times New Roman" w:cs="Times New Roman"/>
          <w:color w:val="auto"/>
          <w:sz w:val="30"/>
          <w:szCs w:val="30"/>
          <w:lang w:val="en-US" w:eastAsia="zh-CN"/>
        </w:rPr>
        <w:t>.2</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lang w:val="en-US" w:eastAsia="zh-CN"/>
        </w:rPr>
        <w:t>编制依据</w:t>
      </w:r>
      <w:bookmarkEnd w:id="15"/>
      <w:bookmarkEnd w:id="16"/>
      <w:bookmarkEnd w:id="17"/>
      <w:bookmarkEnd w:id="18"/>
    </w:p>
    <w:p>
      <w:pPr>
        <w:pStyle w:val="4"/>
        <w:rPr>
          <w:rFonts w:hint="default" w:ascii="Times New Roman" w:hAnsi="Times New Roman" w:cs="Times New Roman"/>
          <w:color w:val="auto"/>
          <w:highlight w:val="none"/>
        </w:rPr>
      </w:pPr>
      <w:bookmarkStart w:id="19" w:name="_Toc4240"/>
      <w:bookmarkStart w:id="20" w:name="_Toc24825"/>
      <w:bookmarkStart w:id="21" w:name="_Toc20830"/>
      <w:bookmarkStart w:id="22" w:name="_Toc14525"/>
      <w:bookmarkStart w:id="23" w:name="_Toc8375"/>
      <w:bookmarkStart w:id="24" w:name="_Toc21059"/>
      <w:bookmarkStart w:id="25" w:name="_Toc30500"/>
      <w:bookmarkStart w:id="26" w:name="_Toc23601"/>
      <w:bookmarkStart w:id="27" w:name="_Toc19382"/>
      <w:r>
        <w:rPr>
          <w:rFonts w:hint="eastAsia" w:ascii="Times New Roman" w:hAnsi="Times New Roman" w:cs="Times New Roman"/>
          <w:color w:val="auto"/>
          <w:highlight w:val="none"/>
          <w:lang w:val="en-US" w:eastAsia="zh-CN"/>
        </w:rPr>
        <w:t>2</w:t>
      </w:r>
      <w:r>
        <w:rPr>
          <w:rFonts w:hint="default" w:ascii="Times New Roman" w:hAnsi="Times New Roman" w:cs="Times New Roman"/>
          <w:color w:val="auto"/>
          <w:highlight w:val="none"/>
        </w:rPr>
        <w:t>.2.1</w:t>
      </w:r>
      <w:r>
        <w:rPr>
          <w:rFonts w:hint="eastAsia" w:cs="Times New Roman"/>
          <w:color w:val="auto"/>
          <w:highlight w:val="none"/>
          <w:lang w:val="en-US" w:eastAsia="zh-CN"/>
        </w:rPr>
        <w:t xml:space="preserve"> </w:t>
      </w:r>
      <w:r>
        <w:rPr>
          <w:rFonts w:hint="default" w:ascii="Times New Roman" w:hAnsi="Times New Roman" w:cs="Times New Roman"/>
          <w:color w:val="auto"/>
          <w:highlight w:val="none"/>
        </w:rPr>
        <w:t>法律法规</w:t>
      </w:r>
      <w:bookmarkEnd w:id="19"/>
      <w:bookmarkEnd w:id="20"/>
      <w:bookmarkEnd w:id="21"/>
      <w:bookmarkEnd w:id="22"/>
      <w:bookmarkEnd w:id="23"/>
      <w:bookmarkEnd w:id="24"/>
      <w:bookmarkEnd w:id="25"/>
      <w:bookmarkEnd w:id="26"/>
      <w:bookmarkEnd w:id="27"/>
    </w:p>
    <w:p>
      <w:pPr>
        <w:spacing w:line="360" w:lineRule="auto"/>
        <w:ind w:firstLine="560" w:firstLineChars="200"/>
        <w:rPr>
          <w:rFonts w:hint="default" w:ascii="Times New Roman" w:hAnsi="Times New Roman" w:eastAsia="仿宋" w:cs="Times New Roman"/>
          <w:color w:val="auto"/>
          <w:sz w:val="28"/>
          <w:highlight w:val="none"/>
        </w:rPr>
      </w:pPr>
      <w:bookmarkStart w:id="28" w:name="_Toc15103"/>
      <w:bookmarkStart w:id="29" w:name="_Toc16102"/>
      <w:bookmarkStart w:id="30" w:name="_Toc13425"/>
      <w:bookmarkStart w:id="31" w:name="_Toc5928"/>
      <w:bookmarkStart w:id="32" w:name="_Toc28348"/>
      <w:bookmarkStart w:id="33" w:name="_Toc20918"/>
      <w:bookmarkStart w:id="34" w:name="_Toc16163"/>
      <w:bookmarkStart w:id="35" w:name="_Toc24871"/>
      <w:bookmarkStart w:id="36" w:name="OLE_LINK12"/>
      <w:bookmarkStart w:id="37" w:name="_Toc4766"/>
      <w:bookmarkStart w:id="38" w:name="_Toc22022"/>
      <w:bookmarkStart w:id="39" w:name="_Toc11207"/>
      <w:bookmarkStart w:id="40" w:name="_Toc4101"/>
      <w:bookmarkStart w:id="41" w:name="_Toc1405"/>
      <w:r>
        <w:rPr>
          <w:rFonts w:hint="default" w:ascii="Times New Roman" w:hAnsi="Times New Roman" w:eastAsia="仿宋" w:cs="Times New Roman"/>
          <w:color w:val="auto"/>
          <w:sz w:val="28"/>
          <w:highlight w:val="none"/>
        </w:rPr>
        <w:t>（1）《中华人民共和国环境保护法》，2015年1月1日；</w:t>
      </w:r>
      <w:bookmarkEnd w:id="28"/>
      <w:bookmarkEnd w:id="29"/>
      <w:bookmarkEnd w:id="30"/>
      <w:bookmarkEnd w:id="31"/>
      <w:bookmarkEnd w:id="32"/>
      <w:bookmarkEnd w:id="33"/>
      <w:bookmarkEnd w:id="34"/>
      <w:bookmarkEnd w:id="35"/>
    </w:p>
    <w:p>
      <w:pPr>
        <w:spacing w:line="360" w:lineRule="auto"/>
        <w:ind w:firstLine="560" w:firstLineChars="200"/>
        <w:rPr>
          <w:rFonts w:hint="default" w:ascii="Times New Roman" w:hAnsi="Times New Roman" w:eastAsia="仿宋" w:cs="Times New Roman"/>
          <w:color w:val="auto"/>
          <w:sz w:val="28"/>
          <w:highlight w:val="none"/>
        </w:rPr>
      </w:pPr>
      <w:bookmarkStart w:id="42" w:name="_Toc31282"/>
      <w:bookmarkStart w:id="43" w:name="_Toc18480"/>
      <w:bookmarkStart w:id="44" w:name="_Toc20569"/>
      <w:bookmarkStart w:id="45" w:name="_Toc5969"/>
      <w:bookmarkStart w:id="46" w:name="_Toc12928"/>
      <w:bookmarkStart w:id="47" w:name="_Toc26459"/>
      <w:bookmarkStart w:id="48" w:name="_Toc7699"/>
      <w:r>
        <w:rPr>
          <w:rFonts w:hint="default" w:ascii="Times New Roman" w:hAnsi="Times New Roman" w:eastAsia="仿宋" w:cs="Times New Roman"/>
          <w:color w:val="auto"/>
          <w:sz w:val="28"/>
          <w:highlight w:val="none"/>
        </w:rPr>
        <w:t>（2）《中华人民共和国水污染防治法》，20</w:t>
      </w:r>
      <w:r>
        <w:rPr>
          <w:rFonts w:hint="eastAsia" w:ascii="Times New Roman" w:hAnsi="Times New Roman" w:cs="Times New Roman"/>
          <w:color w:val="auto"/>
          <w:sz w:val="28"/>
          <w:highlight w:val="none"/>
          <w:lang w:val="en-US" w:eastAsia="zh-CN"/>
        </w:rPr>
        <w:t>17</w:t>
      </w:r>
      <w:r>
        <w:rPr>
          <w:rFonts w:hint="default" w:ascii="Times New Roman" w:hAnsi="Times New Roman" w:eastAsia="仿宋" w:cs="Times New Roman"/>
          <w:color w:val="auto"/>
          <w:sz w:val="28"/>
          <w:highlight w:val="none"/>
        </w:rPr>
        <w:t>年6月</w:t>
      </w:r>
      <w:r>
        <w:rPr>
          <w:rFonts w:hint="eastAsia" w:ascii="Times New Roman" w:hAnsi="Times New Roman" w:cs="Times New Roman"/>
          <w:color w:val="auto"/>
          <w:sz w:val="28"/>
          <w:highlight w:val="none"/>
          <w:lang w:val="en-US" w:eastAsia="zh-CN"/>
        </w:rPr>
        <w:t>27</w:t>
      </w:r>
      <w:r>
        <w:rPr>
          <w:rFonts w:hint="default" w:ascii="Times New Roman" w:hAnsi="Times New Roman" w:eastAsia="仿宋" w:cs="Times New Roman"/>
          <w:color w:val="auto"/>
          <w:sz w:val="28"/>
          <w:highlight w:val="none"/>
        </w:rPr>
        <w:t>日</w:t>
      </w:r>
      <w:r>
        <w:rPr>
          <w:rFonts w:hint="eastAsia" w:ascii="Times New Roman" w:hAnsi="Times New Roman" w:cs="Times New Roman"/>
          <w:color w:val="auto"/>
          <w:sz w:val="28"/>
          <w:highlight w:val="none"/>
          <w:lang w:eastAsia="zh-CN"/>
        </w:rPr>
        <w:t>修订，</w:t>
      </w:r>
      <w:r>
        <w:rPr>
          <w:rFonts w:hint="eastAsia" w:ascii="Times New Roman" w:hAnsi="Times New Roman" w:cs="Times New Roman"/>
          <w:color w:val="auto"/>
          <w:sz w:val="28"/>
          <w:highlight w:val="none"/>
          <w:lang w:val="en-US" w:eastAsia="zh-CN"/>
        </w:rPr>
        <w:t>2018年1月1日实施</w:t>
      </w:r>
      <w:r>
        <w:rPr>
          <w:rFonts w:hint="default" w:ascii="Times New Roman" w:hAnsi="Times New Roman" w:eastAsia="仿宋" w:cs="Times New Roman"/>
          <w:color w:val="auto"/>
          <w:sz w:val="28"/>
          <w:highlight w:val="none"/>
        </w:rPr>
        <w:t>；</w:t>
      </w:r>
      <w:bookmarkEnd w:id="42"/>
      <w:bookmarkEnd w:id="43"/>
      <w:bookmarkEnd w:id="44"/>
      <w:bookmarkEnd w:id="45"/>
      <w:bookmarkEnd w:id="46"/>
      <w:bookmarkEnd w:id="47"/>
      <w:bookmarkEnd w:id="48"/>
    </w:p>
    <w:p>
      <w:pPr>
        <w:spacing w:line="360" w:lineRule="auto"/>
        <w:ind w:firstLine="560" w:firstLineChars="200"/>
        <w:rPr>
          <w:rFonts w:hint="default" w:ascii="Times New Roman" w:hAnsi="Times New Roman" w:eastAsia="仿宋" w:cs="Times New Roman"/>
          <w:color w:val="auto"/>
          <w:sz w:val="28"/>
          <w:highlight w:val="none"/>
        </w:rPr>
      </w:pPr>
      <w:bookmarkStart w:id="49" w:name="_Toc20981"/>
      <w:bookmarkStart w:id="50" w:name="_Toc26703"/>
      <w:bookmarkStart w:id="51" w:name="_Toc16680"/>
      <w:bookmarkStart w:id="52" w:name="_Toc909"/>
      <w:bookmarkStart w:id="53" w:name="_Toc28966"/>
      <w:bookmarkStart w:id="54" w:name="_Toc3697"/>
      <w:bookmarkStart w:id="55" w:name="_Toc9189"/>
      <w:bookmarkStart w:id="56" w:name="_Toc5066"/>
      <w:r>
        <w:rPr>
          <w:rFonts w:hint="default" w:ascii="Times New Roman" w:hAnsi="Times New Roman" w:eastAsia="仿宋" w:cs="Times New Roman"/>
          <w:color w:val="auto"/>
          <w:sz w:val="28"/>
          <w:highlight w:val="none"/>
        </w:rPr>
        <w:t>（3）《中华人民共和国固体废物污染环境防治法》2015年修正版，2015年4月24日；</w:t>
      </w:r>
      <w:bookmarkEnd w:id="49"/>
      <w:bookmarkEnd w:id="50"/>
      <w:bookmarkEnd w:id="51"/>
      <w:bookmarkEnd w:id="52"/>
      <w:bookmarkEnd w:id="53"/>
      <w:bookmarkEnd w:id="54"/>
      <w:bookmarkEnd w:id="55"/>
      <w:bookmarkEnd w:id="56"/>
    </w:p>
    <w:p>
      <w:pPr>
        <w:spacing w:line="360" w:lineRule="auto"/>
        <w:ind w:firstLine="560" w:firstLineChars="200"/>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sz w:val="28"/>
          <w:highlight w:val="none"/>
          <w:lang w:eastAsia="zh-CN"/>
        </w:rPr>
        <w:t>（</w:t>
      </w:r>
      <w:r>
        <w:rPr>
          <w:rFonts w:hint="default" w:ascii="Times New Roman" w:hAnsi="Times New Roman" w:cs="Times New Roman"/>
          <w:color w:val="auto"/>
          <w:sz w:val="28"/>
          <w:highlight w:val="none"/>
          <w:lang w:val="en-US" w:eastAsia="zh-CN"/>
        </w:rPr>
        <w:t>4</w:t>
      </w:r>
      <w:r>
        <w:rPr>
          <w:rFonts w:hint="default" w:ascii="Times New Roman" w:hAnsi="Times New Roman" w:cs="Times New Roman"/>
          <w:color w:val="auto"/>
          <w:sz w:val="28"/>
          <w:highlight w:val="none"/>
          <w:lang w:eastAsia="zh-CN"/>
        </w:rPr>
        <w:t>）</w:t>
      </w:r>
      <w:r>
        <w:rPr>
          <w:rFonts w:hint="default" w:ascii="Times New Roman" w:hAnsi="Times New Roman" w:eastAsia="仿宋" w:cs="Times New Roman"/>
          <w:color w:val="auto"/>
          <w:sz w:val="28"/>
          <w:highlight w:val="none"/>
        </w:rPr>
        <w:t>《中华人民共和国大气污染防治法》（2015年主席令第三十一号），2016年1月1日；</w:t>
      </w:r>
    </w:p>
    <w:p>
      <w:pPr>
        <w:spacing w:line="360" w:lineRule="auto"/>
        <w:ind w:firstLine="560" w:firstLineChars="200"/>
        <w:rPr>
          <w:rFonts w:hint="default" w:ascii="Times New Roman" w:hAnsi="Times New Roman" w:eastAsia="仿宋" w:cs="Times New Roman"/>
          <w:color w:val="auto"/>
          <w:sz w:val="28"/>
          <w:highlight w:val="none"/>
        </w:rPr>
      </w:pPr>
      <w:bookmarkStart w:id="57" w:name="_Toc16681"/>
      <w:bookmarkStart w:id="58" w:name="_Toc3704"/>
      <w:bookmarkStart w:id="59" w:name="_Toc513"/>
      <w:bookmarkStart w:id="60" w:name="_Toc30442"/>
      <w:bookmarkStart w:id="61" w:name="_Toc22398"/>
      <w:bookmarkStart w:id="62" w:name="_Toc7266"/>
      <w:bookmarkStart w:id="63" w:name="_Toc3773"/>
      <w:bookmarkStart w:id="64" w:name="_Toc8538"/>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5</w:t>
      </w:r>
      <w:r>
        <w:rPr>
          <w:rFonts w:hint="default" w:ascii="Times New Roman" w:hAnsi="Times New Roman" w:eastAsia="仿宋" w:cs="Times New Roman"/>
          <w:color w:val="auto"/>
          <w:sz w:val="28"/>
          <w:highlight w:val="none"/>
        </w:rPr>
        <w:t>）《中华人民共和国突发事件应对法》，2007年11月1日；</w:t>
      </w:r>
      <w:bookmarkEnd w:id="57"/>
      <w:bookmarkEnd w:id="58"/>
      <w:bookmarkEnd w:id="59"/>
      <w:bookmarkEnd w:id="60"/>
      <w:bookmarkEnd w:id="61"/>
      <w:bookmarkEnd w:id="62"/>
      <w:bookmarkEnd w:id="63"/>
      <w:bookmarkEnd w:id="6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（6）《国家突发环境事件应急预案》，（国办函〔2014〕119号），2014年12月29日</w:t>
      </w:r>
      <w:bookmarkEnd w:id="36"/>
      <w:r>
        <w:rPr>
          <w:rFonts w:hint="eastAsia" w:ascii="Times New Roman" w:hAnsi="Times New Roman" w:cs="Times New Roman"/>
          <w:color w:val="auto"/>
          <w:sz w:val="28"/>
          <w:highlight w:val="none"/>
          <w:lang w:eastAsia="zh-CN"/>
        </w:rPr>
        <w:t>。</w:t>
      </w:r>
    </w:p>
    <w:p>
      <w:pPr>
        <w:pStyle w:val="4"/>
        <w:rPr>
          <w:rFonts w:hint="default" w:ascii="Times New Roman" w:hAnsi="Times New Roman" w:cs="Times New Roman"/>
          <w:color w:val="auto"/>
          <w:highlight w:val="none"/>
        </w:rPr>
      </w:pPr>
      <w:bookmarkStart w:id="65" w:name="_Toc6877"/>
      <w:bookmarkStart w:id="66" w:name="_Toc166"/>
      <w:bookmarkStart w:id="67" w:name="_Toc11810"/>
      <w:bookmarkStart w:id="68" w:name="_Toc5040"/>
      <w:r>
        <w:rPr>
          <w:rFonts w:hint="eastAsia" w:ascii="Times New Roman" w:hAnsi="Times New Roman" w:cs="Times New Roman"/>
          <w:color w:val="auto"/>
          <w:highlight w:val="none"/>
          <w:lang w:val="en-US" w:eastAsia="zh-CN"/>
        </w:rPr>
        <w:t>2</w:t>
      </w:r>
      <w:r>
        <w:rPr>
          <w:rFonts w:hint="default" w:ascii="Times New Roman" w:hAnsi="Times New Roman" w:cs="Times New Roman"/>
          <w:color w:val="auto"/>
          <w:highlight w:val="none"/>
        </w:rPr>
        <w:t>.2.2</w:t>
      </w:r>
      <w:r>
        <w:rPr>
          <w:rFonts w:hint="eastAsia" w:cs="Times New Roman"/>
          <w:color w:val="auto"/>
          <w:highlight w:val="none"/>
          <w:lang w:val="en-US" w:eastAsia="zh-CN"/>
        </w:rPr>
        <w:t xml:space="preserve"> </w:t>
      </w:r>
      <w:r>
        <w:rPr>
          <w:rFonts w:hint="default" w:ascii="Times New Roman" w:hAnsi="Times New Roman" w:cs="Times New Roman"/>
          <w:color w:val="auto"/>
          <w:highlight w:val="none"/>
        </w:rPr>
        <w:t>技术规范</w:t>
      </w:r>
      <w:bookmarkEnd w:id="37"/>
      <w:bookmarkEnd w:id="38"/>
      <w:bookmarkEnd w:id="39"/>
      <w:bookmarkEnd w:id="40"/>
      <w:bookmarkEnd w:id="41"/>
      <w:bookmarkEnd w:id="65"/>
      <w:bookmarkEnd w:id="66"/>
      <w:bookmarkEnd w:id="67"/>
      <w:bookmarkEnd w:id="68"/>
    </w:p>
    <w:p>
      <w:pPr>
        <w:spacing w:line="360" w:lineRule="auto"/>
        <w:ind w:firstLine="560" w:firstLineChars="200"/>
        <w:rPr>
          <w:rFonts w:hint="default" w:ascii="Times New Roman" w:hAnsi="Times New Roman" w:eastAsia="仿宋" w:cs="Times New Roman"/>
          <w:color w:val="auto"/>
          <w:sz w:val="28"/>
          <w:highlight w:val="none"/>
        </w:rPr>
      </w:pPr>
      <w:bookmarkStart w:id="69" w:name="_Toc1232"/>
      <w:bookmarkStart w:id="70" w:name="_Toc8218"/>
      <w:bookmarkStart w:id="71" w:name="OLE_LINK13"/>
      <w:bookmarkStart w:id="72" w:name="_Toc14790"/>
      <w:bookmarkStart w:id="73" w:name="_Toc13023"/>
      <w:bookmarkStart w:id="74" w:name="_Toc162"/>
      <w:r>
        <w:rPr>
          <w:rFonts w:hint="default" w:ascii="Times New Roman" w:hAnsi="Times New Roman" w:eastAsia="仿宋" w:cs="Times New Roman"/>
          <w:color w:val="auto"/>
          <w:sz w:val="28"/>
          <w:highlight w:val="none"/>
        </w:rPr>
        <w:t>（1）《国务院关于加强环境保护重点工作的意见》，（国发[2011]35号）；</w:t>
      </w:r>
    </w:p>
    <w:p>
      <w:pPr>
        <w:spacing w:line="360" w:lineRule="auto"/>
        <w:ind w:firstLine="560" w:firstLineChars="200"/>
        <w:rPr>
          <w:rFonts w:hint="default" w:ascii="Times New Roman" w:hAnsi="Times New Roman" w:eastAsia="仿宋" w:cs="Times New Roman"/>
          <w:color w:val="auto"/>
          <w:sz w:val="28"/>
          <w:highlight w:val="none"/>
        </w:rPr>
      </w:pPr>
      <w:bookmarkStart w:id="75" w:name="_Toc16766"/>
      <w:bookmarkStart w:id="76" w:name="_Toc26653"/>
      <w:bookmarkStart w:id="77" w:name="_Toc2578"/>
      <w:bookmarkStart w:id="78" w:name="_Toc8551"/>
      <w:bookmarkStart w:id="79" w:name="_Toc27040"/>
      <w:bookmarkStart w:id="80" w:name="_Toc9441"/>
      <w:bookmarkStart w:id="81" w:name="_Toc13485"/>
      <w:bookmarkStart w:id="82" w:name="_Toc28232"/>
      <w:r>
        <w:rPr>
          <w:rFonts w:hint="default" w:ascii="Times New Roman" w:hAnsi="Times New Roman" w:eastAsia="仿宋" w:cs="Times New Roman"/>
          <w:color w:val="auto"/>
          <w:sz w:val="28"/>
          <w:highlight w:val="none"/>
        </w:rPr>
        <w:t>（2）《突发环境事件信息报告办法》，（环境保护部令第17号），2011年5月1日；</w:t>
      </w:r>
      <w:bookmarkEnd w:id="75"/>
      <w:bookmarkEnd w:id="76"/>
      <w:bookmarkEnd w:id="77"/>
      <w:bookmarkEnd w:id="78"/>
      <w:bookmarkEnd w:id="79"/>
      <w:bookmarkEnd w:id="80"/>
      <w:bookmarkEnd w:id="81"/>
      <w:bookmarkEnd w:id="82"/>
    </w:p>
    <w:p>
      <w:pPr>
        <w:spacing w:line="360" w:lineRule="auto"/>
        <w:ind w:firstLine="560" w:firstLineChars="200"/>
        <w:rPr>
          <w:rFonts w:hint="default" w:ascii="Times New Roman" w:hAnsi="Times New Roman" w:eastAsia="仿宋" w:cs="Times New Roman"/>
          <w:color w:val="auto"/>
          <w:sz w:val="28"/>
          <w:highlight w:val="none"/>
        </w:rPr>
      </w:pPr>
      <w:bookmarkStart w:id="83" w:name="_Toc25996"/>
      <w:bookmarkStart w:id="84" w:name="_Toc22956"/>
      <w:bookmarkStart w:id="85" w:name="_Toc27776"/>
      <w:bookmarkStart w:id="86" w:name="_Toc23959"/>
      <w:bookmarkStart w:id="87" w:name="_Toc3542"/>
      <w:bookmarkStart w:id="88" w:name="_Toc17366"/>
      <w:bookmarkStart w:id="89" w:name="_Toc6476"/>
      <w:bookmarkStart w:id="90" w:name="_Toc21504"/>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3</w:t>
      </w: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eastAsia="zh-CN"/>
        </w:rPr>
        <w:t>企业突发环境事件风险分级方法</w:t>
      </w: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HJ 941-2018</w:t>
      </w: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2018</w:t>
      </w:r>
      <w:r>
        <w:rPr>
          <w:rFonts w:hint="default" w:ascii="Times New Roman" w:hAnsi="Times New Roman" w:eastAsia="仿宋" w:cs="Times New Roman"/>
          <w:color w:val="auto"/>
          <w:sz w:val="28"/>
          <w:highlight w:val="none"/>
        </w:rPr>
        <w:t>年</w:t>
      </w:r>
      <w:r>
        <w:rPr>
          <w:rFonts w:hint="eastAsia" w:ascii="Times New Roman" w:hAnsi="Times New Roman" w:cs="Times New Roman"/>
          <w:color w:val="auto"/>
          <w:sz w:val="28"/>
          <w:highlight w:val="none"/>
          <w:lang w:val="en-US" w:eastAsia="zh-CN"/>
        </w:rPr>
        <w:t>3</w:t>
      </w:r>
      <w:r>
        <w:rPr>
          <w:rFonts w:hint="default" w:ascii="Times New Roman" w:hAnsi="Times New Roman" w:eastAsia="仿宋" w:cs="Times New Roman"/>
          <w:color w:val="auto"/>
          <w:sz w:val="28"/>
          <w:highlight w:val="none"/>
        </w:rPr>
        <w:t>月</w:t>
      </w:r>
      <w:r>
        <w:rPr>
          <w:rFonts w:hint="eastAsia" w:ascii="Times New Roman" w:hAnsi="Times New Roman" w:cs="Times New Roman"/>
          <w:color w:val="auto"/>
          <w:sz w:val="28"/>
          <w:highlight w:val="none"/>
          <w:lang w:val="en-US" w:eastAsia="zh-CN"/>
        </w:rPr>
        <w:t>1日；</w:t>
      </w:r>
    </w:p>
    <w:bookmarkEnd w:id="83"/>
    <w:bookmarkEnd w:id="84"/>
    <w:bookmarkEnd w:id="85"/>
    <w:bookmarkEnd w:id="86"/>
    <w:bookmarkEnd w:id="87"/>
    <w:bookmarkEnd w:id="88"/>
    <w:bookmarkEnd w:id="89"/>
    <w:bookmarkEnd w:id="90"/>
    <w:p>
      <w:pPr>
        <w:spacing w:line="360" w:lineRule="auto"/>
        <w:ind w:firstLine="560" w:firstLineChars="200"/>
        <w:rPr>
          <w:rFonts w:hint="eastAsia" w:ascii="Times New Roman" w:hAnsi="Times New Roman" w:eastAsia="仿宋" w:cs="Times New Roman"/>
          <w:color w:val="auto"/>
          <w:sz w:val="28"/>
          <w:highlight w:val="none"/>
          <w:lang w:eastAsia="zh-CN"/>
        </w:rPr>
      </w:pPr>
      <w:bookmarkStart w:id="91" w:name="_Toc21986"/>
      <w:bookmarkStart w:id="92" w:name="_Toc22627"/>
      <w:bookmarkStart w:id="93" w:name="_Toc25352"/>
      <w:bookmarkStart w:id="94" w:name="_Toc20291"/>
      <w:bookmarkStart w:id="95" w:name="_Toc26911"/>
      <w:bookmarkStart w:id="96" w:name="_Toc21240"/>
      <w:bookmarkStart w:id="97" w:name="_Toc6478"/>
      <w:bookmarkStart w:id="98" w:name="_Toc11284"/>
      <w:r>
        <w:rPr>
          <w:rFonts w:hint="eastAsia" w:ascii="Times New Roman" w:hAnsi="Times New Roman" w:cs="Times New Roman"/>
          <w:color w:val="auto"/>
          <w:sz w:val="28"/>
          <w:highlight w:val="none"/>
          <w:lang w:eastAsia="zh-CN"/>
        </w:rPr>
        <w:t>（</w:t>
      </w:r>
      <w:r>
        <w:rPr>
          <w:rFonts w:hint="eastAsia" w:ascii="Times New Roman" w:hAnsi="Times New Roman" w:cs="Times New Roman"/>
          <w:color w:val="auto"/>
          <w:sz w:val="28"/>
          <w:highlight w:val="none"/>
          <w:lang w:val="en-US" w:eastAsia="zh-CN"/>
        </w:rPr>
        <w:t>4</w:t>
      </w:r>
      <w:r>
        <w:rPr>
          <w:rFonts w:hint="eastAsia" w:ascii="Times New Roman" w:hAnsi="Times New Roman" w:cs="Times New Roman"/>
          <w:color w:val="auto"/>
          <w:sz w:val="28"/>
          <w:highlight w:val="none"/>
          <w:lang w:eastAsia="zh-CN"/>
        </w:rPr>
        <w:t>）《企业事业单位突发环境事件应急预案评审工作指南》（试行）（环办应急</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2018</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8号</w:t>
      </w:r>
      <w:r>
        <w:rPr>
          <w:rFonts w:hint="eastAsia" w:ascii="Times New Roman" w:hAnsi="Times New Roman" w:cs="Times New Roman"/>
          <w:color w:val="auto"/>
          <w:sz w:val="28"/>
          <w:highlight w:val="none"/>
          <w:lang w:eastAsia="zh-CN"/>
        </w:rPr>
        <w:t>），</w:t>
      </w:r>
      <w:r>
        <w:rPr>
          <w:rFonts w:hint="eastAsia" w:ascii="Times New Roman" w:hAnsi="Times New Roman" w:cs="Times New Roman"/>
          <w:color w:val="auto"/>
          <w:sz w:val="28"/>
          <w:highlight w:val="none"/>
          <w:lang w:val="en-US" w:eastAsia="zh-CN"/>
        </w:rPr>
        <w:t>2018年1月30日；</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5</w:t>
      </w:r>
      <w:r>
        <w:rPr>
          <w:rFonts w:hint="default" w:ascii="Times New Roman" w:hAnsi="Times New Roman" w:eastAsia="仿宋" w:cs="Times New Roman"/>
          <w:color w:val="auto"/>
          <w:sz w:val="28"/>
          <w:highlight w:val="none"/>
        </w:rPr>
        <w:t>）《陕西省突发环境事件应急预案》，</w:t>
      </w:r>
      <w:r>
        <w:rPr>
          <w:rFonts w:hint="default" w:ascii="Times New Roman" w:hAnsi="Times New Roman" w:cs="Times New Roman"/>
          <w:color w:val="auto"/>
          <w:sz w:val="28"/>
          <w:highlight w:val="none"/>
          <w:lang w:eastAsia="zh-CN"/>
        </w:rPr>
        <w:t>陕政办函</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2015</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128号</w:t>
      </w:r>
      <w:r>
        <w:rPr>
          <w:rFonts w:hint="default" w:ascii="Times New Roman" w:hAnsi="Times New Roman" w:eastAsia="仿宋" w:cs="Times New Roman"/>
          <w:color w:val="auto"/>
          <w:sz w:val="28"/>
          <w:highlight w:val="none"/>
        </w:rPr>
        <w:t>；</w:t>
      </w:r>
      <w:bookmarkEnd w:id="91"/>
      <w:bookmarkEnd w:id="92"/>
      <w:bookmarkEnd w:id="93"/>
      <w:bookmarkEnd w:id="94"/>
      <w:bookmarkEnd w:id="95"/>
      <w:bookmarkEnd w:id="96"/>
      <w:bookmarkEnd w:id="97"/>
      <w:bookmarkEnd w:id="98"/>
    </w:p>
    <w:p>
      <w:pPr>
        <w:spacing w:line="360" w:lineRule="auto"/>
        <w:ind w:firstLine="560" w:firstLineChars="200"/>
        <w:rPr>
          <w:rFonts w:hint="default" w:ascii="Times New Roman" w:hAnsi="Times New Roman" w:eastAsia="仿宋" w:cs="Times New Roman"/>
          <w:color w:val="auto"/>
          <w:sz w:val="28"/>
          <w:highlight w:val="none"/>
        </w:rPr>
      </w:pPr>
      <w:bookmarkStart w:id="99" w:name="_Toc7364"/>
      <w:bookmarkStart w:id="100" w:name="_Toc32121"/>
      <w:bookmarkStart w:id="101" w:name="_Toc29726"/>
      <w:bookmarkStart w:id="102" w:name="_Toc1448"/>
      <w:bookmarkStart w:id="103" w:name="_Toc19819"/>
      <w:bookmarkStart w:id="104" w:name="_Toc16334"/>
      <w:bookmarkStart w:id="105" w:name="_Toc2448"/>
      <w:bookmarkStart w:id="106" w:name="_Toc32696"/>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6</w:t>
      </w:r>
      <w:r>
        <w:rPr>
          <w:rFonts w:hint="default" w:ascii="Times New Roman" w:hAnsi="Times New Roman" w:eastAsia="仿宋" w:cs="Times New Roman"/>
          <w:color w:val="auto"/>
          <w:sz w:val="28"/>
          <w:highlight w:val="none"/>
        </w:rPr>
        <w:t>）《陕西省突发环境事件应急预案管理暂行办法》，2011年10月8日；</w:t>
      </w:r>
      <w:bookmarkEnd w:id="99"/>
      <w:bookmarkEnd w:id="100"/>
      <w:bookmarkEnd w:id="101"/>
      <w:bookmarkEnd w:id="102"/>
      <w:bookmarkEnd w:id="103"/>
      <w:bookmarkEnd w:id="104"/>
      <w:bookmarkEnd w:id="105"/>
      <w:bookmarkEnd w:id="106"/>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7</w:t>
      </w:r>
      <w:r>
        <w:rPr>
          <w:rFonts w:hint="default" w:ascii="Times New Roman" w:hAnsi="Times New Roman" w:eastAsia="仿宋" w:cs="Times New Roman"/>
          <w:color w:val="auto"/>
          <w:sz w:val="28"/>
          <w:highlight w:val="none"/>
        </w:rPr>
        <w:t>）《陕西省环境保护厅办公室关于进一步加强突发环境事件应急预案工作的通知》（陕环办发[2012]126号）</w:t>
      </w:r>
      <w:r>
        <w:rPr>
          <w:rFonts w:hint="eastAsia" w:ascii="Times New Roman" w:hAnsi="Times New Roman" w:cs="Times New Roman"/>
          <w:color w:val="auto"/>
          <w:sz w:val="28"/>
          <w:highlight w:val="none"/>
          <w:lang w:val="en-US" w:eastAsia="zh-CN"/>
        </w:rPr>
        <w:t>；</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8</w:t>
      </w:r>
      <w:r>
        <w:rPr>
          <w:rFonts w:hint="default" w:ascii="Times New Roman" w:hAnsi="Times New Roman" w:eastAsia="仿宋" w:cs="Times New Roman"/>
          <w:color w:val="auto"/>
          <w:sz w:val="28"/>
          <w:highlight w:val="none"/>
        </w:rPr>
        <w:t>）《突发环境事件应急管理办法》（环境保护部令第34号），2015年6月5日；</w:t>
      </w:r>
    </w:p>
    <w:p>
      <w:pPr>
        <w:spacing w:line="360" w:lineRule="auto"/>
        <w:ind w:firstLine="560" w:firstLineChars="200"/>
        <w:rPr>
          <w:rFonts w:hint="eastAsia" w:ascii="Times New Roman" w:hAnsi="Times New Roman" w:cs="Times New Roman"/>
          <w:color w:val="auto"/>
          <w:sz w:val="28"/>
          <w:highlight w:val="none"/>
          <w:lang w:eastAsia="zh-CN"/>
        </w:rPr>
      </w:pP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val="en-US" w:eastAsia="zh-CN"/>
        </w:rPr>
        <w:t>9</w:t>
      </w:r>
      <w:r>
        <w:rPr>
          <w:rFonts w:hint="default" w:ascii="Times New Roman" w:hAnsi="Times New Roman" w:eastAsia="仿宋" w:cs="Times New Roman"/>
          <w:color w:val="auto"/>
          <w:sz w:val="28"/>
          <w:highlight w:val="none"/>
        </w:rPr>
        <w:t>）《突发环境事件调查处理办法》（环境保护部令第32号），2015年3月1日</w:t>
      </w:r>
      <w:r>
        <w:rPr>
          <w:rFonts w:hint="eastAsia" w:ascii="Times New Roman" w:hAnsi="Times New Roman" w:cs="Times New Roman"/>
          <w:color w:val="auto"/>
          <w:sz w:val="28"/>
          <w:highlight w:val="none"/>
          <w:lang w:eastAsia="zh-CN"/>
        </w:rPr>
        <w:t>；</w:t>
      </w:r>
    </w:p>
    <w:p>
      <w:pPr>
        <w:ind w:firstLine="560" w:firstLineChars="200"/>
        <w:rPr>
          <w:rFonts w:hint="eastAsia" w:ascii="Times New Roman" w:hAnsi="Times New Roman" w:eastAsia="仿宋" w:cs="Times New Roman"/>
          <w:color w:val="auto"/>
          <w:sz w:val="28"/>
          <w:highlight w:val="none"/>
          <w:lang w:eastAsia="zh-CN"/>
        </w:rPr>
      </w:pPr>
      <w:r>
        <w:rPr>
          <w:rFonts w:hint="eastAsia" w:cs="仿宋"/>
          <w:b w:val="0"/>
          <w:kern w:val="2"/>
          <w:sz w:val="28"/>
          <w:szCs w:val="28"/>
          <w:lang w:val="en-US" w:eastAsia="zh-CN" w:bidi="ar-SA"/>
        </w:rPr>
        <w:t>（10）《企业突发环境事件隐患排查和治理工作指南》（试行）。</w:t>
      </w:r>
    </w:p>
    <w:bookmarkEnd w:id="69"/>
    <w:bookmarkEnd w:id="70"/>
    <w:bookmarkEnd w:id="71"/>
    <w:bookmarkEnd w:id="72"/>
    <w:bookmarkEnd w:id="73"/>
    <w:bookmarkEnd w:id="74"/>
    <w:p>
      <w:pPr>
        <w:pStyle w:val="4"/>
        <w:rPr>
          <w:rFonts w:hint="default" w:ascii="Times New Roman" w:hAnsi="Times New Roman" w:cs="Times New Roman"/>
          <w:color w:val="auto"/>
          <w:highlight w:val="none"/>
          <w:lang w:val="en-US" w:eastAsia="zh-CN"/>
        </w:rPr>
      </w:pPr>
      <w:bookmarkStart w:id="107" w:name="_Toc22785"/>
      <w:bookmarkStart w:id="108" w:name="_Toc15623"/>
      <w:bookmarkStart w:id="109" w:name="_Toc13159"/>
      <w:bookmarkStart w:id="110" w:name="_Toc8401"/>
      <w:bookmarkStart w:id="111" w:name="_Toc23347"/>
      <w:bookmarkStart w:id="112" w:name="_Toc29323"/>
      <w:bookmarkStart w:id="113" w:name="_Toc14304"/>
      <w:r>
        <w:rPr>
          <w:rFonts w:hint="eastAsia" w:ascii="Times New Roman" w:hAnsi="Times New Roman" w:cs="Times New Roman"/>
          <w:color w:val="auto"/>
          <w:highlight w:val="none"/>
          <w:lang w:val="en-US" w:eastAsia="zh-CN"/>
        </w:rPr>
        <w:t>2</w:t>
      </w:r>
      <w:r>
        <w:rPr>
          <w:rFonts w:hint="default" w:ascii="Times New Roman" w:hAnsi="Times New Roman" w:cs="Times New Roman"/>
          <w:color w:val="auto"/>
          <w:highlight w:val="none"/>
          <w:lang w:val="en-US" w:eastAsia="zh-CN"/>
        </w:rPr>
        <w:t>.2.</w:t>
      </w:r>
      <w:r>
        <w:rPr>
          <w:rFonts w:hint="eastAsia" w:ascii="Times New Roman" w:hAnsi="Times New Roman" w:cs="Times New Roman"/>
          <w:color w:val="auto"/>
          <w:highlight w:val="none"/>
          <w:lang w:val="en-US" w:eastAsia="zh-CN"/>
        </w:rPr>
        <w:t>3</w:t>
      </w:r>
      <w:r>
        <w:rPr>
          <w:rFonts w:hint="eastAsia" w:cs="Times New Roman"/>
          <w:color w:val="auto"/>
          <w:highlight w:val="none"/>
          <w:lang w:val="en-US" w:eastAsia="zh-CN"/>
        </w:rPr>
        <w:t xml:space="preserve"> </w:t>
      </w:r>
      <w:r>
        <w:rPr>
          <w:rFonts w:hint="default" w:ascii="Times New Roman" w:hAnsi="Times New Roman" w:cs="Times New Roman"/>
          <w:color w:val="auto"/>
          <w:highlight w:val="none"/>
          <w:lang w:val="en-US" w:eastAsia="zh-CN"/>
        </w:rPr>
        <w:t>其他资料</w:t>
      </w:r>
      <w:bookmarkEnd w:id="107"/>
      <w:bookmarkEnd w:id="108"/>
      <w:bookmarkEnd w:id="109"/>
      <w:bookmarkEnd w:id="110"/>
      <w:bookmarkEnd w:id="111"/>
      <w:bookmarkEnd w:id="112"/>
      <w:bookmarkEnd w:id="113"/>
    </w:p>
    <w:p>
      <w:pPr>
        <w:spacing w:line="360" w:lineRule="auto"/>
        <w:ind w:firstLine="560" w:firstLineChars="200"/>
        <w:rPr>
          <w:rFonts w:hint="default" w:ascii="Times New Roman" w:hAnsi="Times New Roman" w:cs="Times New Roman"/>
          <w:color w:val="auto"/>
          <w:highlight w:val="none"/>
          <w:lang w:val="en-US" w:eastAsia="zh-CN"/>
        </w:rPr>
      </w:pPr>
      <w:bookmarkStart w:id="114" w:name="_Toc19750"/>
      <w:bookmarkStart w:id="115" w:name="_Toc32733"/>
      <w:r>
        <w:rPr>
          <w:rFonts w:hint="default" w:ascii="Times New Roman" w:hAnsi="Times New Roman" w:cs="Times New Roman"/>
          <w:color w:val="auto"/>
          <w:sz w:val="28"/>
          <w:highlight w:val="none"/>
          <w:lang w:val="en-US" w:eastAsia="zh-CN"/>
        </w:rPr>
        <w:t>（1）</w:t>
      </w:r>
      <w:r>
        <w:rPr>
          <w:rFonts w:hint="default" w:ascii="Times New Roman" w:hAnsi="Times New Roman" w:eastAsia="仿宋" w:cs="Times New Roman"/>
          <w:color w:val="auto"/>
          <w:sz w:val="28"/>
          <w:highlight w:val="none"/>
          <w:lang w:val="en-US" w:eastAsia="zh-CN"/>
        </w:rPr>
        <w:t>《</w:t>
      </w:r>
      <w:r>
        <w:rPr>
          <w:rFonts w:hint="eastAsia" w:ascii="Times New Roman" w:hAnsi="Times New Roman" w:cs="Times New Roman"/>
          <w:color w:val="auto"/>
          <w:sz w:val="28"/>
          <w:highlight w:val="none"/>
          <w:lang w:val="zh-CN" w:eastAsia="zh-CN"/>
        </w:rPr>
        <w:t>咸阳市秦都区宏大建材厂</w:t>
      </w:r>
      <w:r>
        <w:rPr>
          <w:rFonts w:hint="default" w:ascii="Times New Roman" w:hAnsi="Times New Roman" w:cs="Times New Roman"/>
          <w:color w:val="auto"/>
          <w:sz w:val="28"/>
          <w:highlight w:val="none"/>
          <w:lang w:val="zh-CN" w:eastAsia="zh-CN"/>
        </w:rPr>
        <w:t>新厂区建设项目</w:t>
      </w:r>
      <w:r>
        <w:rPr>
          <w:rFonts w:hint="default" w:ascii="Times New Roman" w:hAnsi="Times New Roman" w:eastAsia="仿宋" w:cs="Times New Roman"/>
          <w:color w:val="auto"/>
          <w:sz w:val="28"/>
          <w:highlight w:val="none"/>
          <w:lang w:val="en-US" w:eastAsia="zh-CN"/>
        </w:rPr>
        <w:t>环境影响报告</w:t>
      </w:r>
      <w:r>
        <w:rPr>
          <w:rFonts w:hint="default" w:ascii="Times New Roman" w:hAnsi="Times New Roman" w:cs="Times New Roman"/>
          <w:color w:val="auto"/>
          <w:sz w:val="28"/>
          <w:highlight w:val="none"/>
          <w:lang w:val="en-US" w:eastAsia="zh-CN"/>
        </w:rPr>
        <w:t>表</w:t>
      </w:r>
      <w:r>
        <w:rPr>
          <w:rFonts w:hint="default" w:ascii="Times New Roman" w:hAnsi="Times New Roman" w:eastAsia="仿宋" w:cs="Times New Roman"/>
          <w:color w:val="auto"/>
          <w:sz w:val="28"/>
          <w:highlight w:val="none"/>
          <w:lang w:val="en-US" w:eastAsia="zh-CN"/>
        </w:rPr>
        <w:t>》</w:t>
      </w:r>
      <w:r>
        <w:rPr>
          <w:rFonts w:hint="eastAsia" w:ascii="Times New Roman" w:hAnsi="Times New Roman" w:cs="Times New Roman"/>
          <w:color w:val="auto"/>
          <w:sz w:val="28"/>
          <w:highlight w:val="none"/>
          <w:lang w:val="en-US" w:eastAsia="zh-CN"/>
        </w:rPr>
        <w:t>及批复</w:t>
      </w:r>
      <w:r>
        <w:rPr>
          <w:rFonts w:hint="default" w:ascii="Times New Roman" w:hAnsi="Times New Roman" w:eastAsia="仿宋" w:cs="Times New Roman"/>
          <w:color w:val="auto"/>
          <w:sz w:val="28"/>
          <w:highlight w:val="none"/>
          <w:lang w:val="en-US" w:eastAsia="zh-CN"/>
        </w:rPr>
        <w:t>；</w:t>
      </w:r>
    </w:p>
    <w:p>
      <w:pPr>
        <w:spacing w:line="360" w:lineRule="auto"/>
        <w:ind w:firstLine="560" w:firstLineChars="200"/>
        <w:rPr>
          <w:rFonts w:hint="default" w:ascii="Times New Roman" w:hAnsi="Times New Roman" w:cs="Times New Roman"/>
          <w:color w:val="auto"/>
          <w:lang w:eastAsia="zh-CN"/>
        </w:rPr>
      </w:pPr>
      <w:r>
        <w:rPr>
          <w:rFonts w:hint="default" w:ascii="Times New Roman" w:hAnsi="Times New Roman" w:cs="Times New Roman"/>
          <w:color w:val="auto"/>
          <w:sz w:val="28"/>
          <w:highlight w:val="none"/>
          <w:lang w:val="en-US" w:eastAsia="zh-CN"/>
        </w:rPr>
        <w:t>（</w:t>
      </w:r>
      <w:r>
        <w:rPr>
          <w:rFonts w:hint="eastAsia" w:ascii="Times New Roman" w:hAnsi="Times New Roman" w:cs="Times New Roman"/>
          <w:color w:val="auto"/>
          <w:sz w:val="28"/>
          <w:highlight w:val="none"/>
          <w:lang w:val="en-US" w:eastAsia="zh-CN"/>
        </w:rPr>
        <w:t>2</w:t>
      </w:r>
      <w:r>
        <w:rPr>
          <w:rFonts w:hint="default" w:ascii="Times New Roman" w:hAnsi="Times New Roman" w:cs="Times New Roman"/>
          <w:color w:val="auto"/>
          <w:sz w:val="28"/>
          <w:highlight w:val="none"/>
          <w:lang w:val="en-US" w:eastAsia="zh-CN"/>
        </w:rPr>
        <w:t>）</w:t>
      </w:r>
      <w:r>
        <w:rPr>
          <w:rFonts w:hint="eastAsia" w:ascii="Times New Roman" w:hAnsi="Times New Roman" w:cs="Times New Roman"/>
          <w:color w:val="auto"/>
          <w:sz w:val="28"/>
          <w:highlight w:val="none"/>
          <w:lang w:val="en-US" w:eastAsia="zh-CN"/>
        </w:rPr>
        <w:t>咸阳市秦都区宏大建材厂</w:t>
      </w:r>
      <w:r>
        <w:rPr>
          <w:rFonts w:hint="default" w:ascii="Times New Roman" w:hAnsi="Times New Roman" w:eastAsia="仿宋" w:cs="Times New Roman"/>
          <w:color w:val="auto"/>
          <w:sz w:val="28"/>
          <w:highlight w:val="none"/>
          <w:lang w:val="en-US" w:eastAsia="zh-CN"/>
        </w:rPr>
        <w:t>提供其他资料。</w:t>
      </w:r>
    </w:p>
    <w:p>
      <w:pPr>
        <w:pStyle w:val="2"/>
        <w:rPr>
          <w:rFonts w:hint="default" w:ascii="Times New Roman" w:hAnsi="Times New Roman" w:cs="Times New Roman"/>
          <w:color w:val="auto"/>
          <w:sz w:val="30"/>
          <w:szCs w:val="30"/>
        </w:rPr>
      </w:pPr>
      <w:bookmarkStart w:id="116" w:name="_Toc1151"/>
      <w:r>
        <w:rPr>
          <w:rFonts w:hint="default" w:ascii="Times New Roman" w:hAnsi="Times New Roman" w:cs="Times New Roman"/>
          <w:color w:val="auto"/>
          <w:sz w:val="30"/>
          <w:szCs w:val="30"/>
        </w:rPr>
        <w:t>2.3</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rPr>
        <w:t>企业突发环境事件风险评估程序</w:t>
      </w:r>
      <w:bookmarkEnd w:id="114"/>
      <w:bookmarkEnd w:id="115"/>
      <w:bookmarkEnd w:id="11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eastAsia="仿宋"/>
          <w:color w:val="auto"/>
          <w:lang w:eastAsia="zh-CN"/>
        </w:rPr>
      </w:pPr>
      <w:r>
        <w:rPr>
          <w:rFonts w:hint="default" w:ascii="Times New Roman" w:hAnsi="Times New Roman" w:eastAsia="仿宋" w:cs="Times New Roman"/>
          <w:color w:val="auto"/>
          <w:sz w:val="28"/>
          <w:szCs w:val="28"/>
        </w:rPr>
        <w:t>环境风险等级划分为一般环境风险、较大环境风险和重大环境风险三级</w:t>
      </w:r>
      <w:r>
        <w:rPr>
          <w:rFonts w:hint="default" w:ascii="Times New Roman" w:hAnsi="Times New Roman" w:eastAsia="仿宋" w:cs="Times New Roman"/>
          <w:color w:val="auto"/>
          <w:sz w:val="28"/>
          <w:szCs w:val="28"/>
          <w:lang w:eastAsia="zh-CN"/>
        </w:rPr>
        <w:t>。</w:t>
      </w:r>
      <w:r>
        <w:rPr>
          <w:rFonts w:hint="eastAsia" w:ascii="Times New Roman" w:hAnsi="Times New Roman" w:cs="Times New Roman"/>
          <w:color w:val="auto"/>
          <w:sz w:val="28"/>
          <w:szCs w:val="28"/>
          <w:lang w:eastAsia="zh-CN"/>
        </w:rPr>
        <w:t>咸阳市秦都区宏大建材厂</w:t>
      </w:r>
      <w:r>
        <w:rPr>
          <w:rFonts w:hint="default" w:ascii="Times New Roman" w:hAnsi="Times New Roman" w:eastAsia="仿宋" w:cs="Times New Roman"/>
          <w:color w:val="auto"/>
          <w:sz w:val="28"/>
          <w:szCs w:val="28"/>
        </w:rPr>
        <w:t>突发环境事件风险等级划分流程示意图，见图</w:t>
      </w:r>
      <w:r>
        <w:rPr>
          <w:rFonts w:hint="default" w:ascii="Times New Roman" w:hAnsi="Times New Roman" w:eastAsia="仿宋GB_2312" w:cs="Times New Roman"/>
          <w:color w:val="auto"/>
        </w:rPr>
        <w:t>2-1</w:t>
      </w:r>
      <w:r>
        <w:rPr>
          <w:rFonts w:hint="default" w:ascii="Times New Roman" w:hAnsi="Times New Roman" w:eastAsia="仿宋"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仿宋GB_2312" w:cs="Times New Roman"/>
          <w:b/>
          <w:color w:val="auto"/>
          <w:sz w:val="24"/>
          <w:szCs w:val="24"/>
        </w:rPr>
      </w:pPr>
      <w:r>
        <w:rPr>
          <w:rFonts w:hint="eastAsia" w:eastAsia="仿宋"/>
          <w:color w:val="auto"/>
          <w:lang w:eastAsia="zh-CN"/>
        </w:rPr>
        <w:drawing>
          <wp:anchor distT="0" distB="0" distL="114300" distR="114300" simplePos="0" relativeHeight="251695104" behindDoc="0" locked="0" layoutInCell="1" allowOverlap="1">
            <wp:simplePos x="0" y="0"/>
            <wp:positionH relativeFrom="column">
              <wp:posOffset>20320</wp:posOffset>
            </wp:positionH>
            <wp:positionV relativeFrom="paragraph">
              <wp:posOffset>106045</wp:posOffset>
            </wp:positionV>
            <wp:extent cx="5651500" cy="4655185"/>
            <wp:effectExtent l="0" t="0" r="6350" b="12065"/>
            <wp:wrapTopAndBottom/>
            <wp:docPr id="2" name="图片 2" descr="1524559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524559558(1)"/>
                    <pic:cNvPicPr>
                      <a:picLocks noChangeAspect="1"/>
                    </pic:cNvPicPr>
                  </pic:nvPicPr>
                  <pic:blipFill>
                    <a:blip r:embed="rId6"/>
                    <a:srcRect l="5054" r="8748"/>
                    <a:stretch>
                      <a:fillRect/>
                    </a:stretch>
                  </pic:blipFill>
                  <pic:spPr>
                    <a:xfrm>
                      <a:off x="0" y="0"/>
                      <a:ext cx="5651500" cy="4655185"/>
                    </a:xfrm>
                    <a:prstGeom prst="rect">
                      <a:avLst/>
                    </a:prstGeom>
                  </pic:spPr>
                </pic:pic>
              </a:graphicData>
            </a:graphic>
          </wp:anchor>
        </w:drawing>
      </w:r>
      <w:r>
        <w:rPr>
          <w:rFonts w:hint="default" w:ascii="Times New Roman" w:hAnsi="Times New Roman" w:eastAsia="仿宋GB_2312" w:cs="Times New Roman"/>
          <w:b/>
          <w:color w:val="auto"/>
          <w:sz w:val="24"/>
          <w:szCs w:val="24"/>
        </w:rPr>
        <w:t>图</w:t>
      </w:r>
      <w:r>
        <w:rPr>
          <w:rFonts w:hint="eastAsia" w:ascii="Times New Roman" w:hAnsi="Times New Roman" w:eastAsia="仿宋GB_2312" w:cs="Times New Roman"/>
          <w:b/>
          <w:color w:val="auto"/>
          <w:sz w:val="24"/>
          <w:szCs w:val="24"/>
          <w:lang w:val="en-US" w:eastAsia="zh-CN"/>
        </w:rPr>
        <w:t>2-</w:t>
      </w:r>
      <w:r>
        <w:rPr>
          <w:rFonts w:hint="default" w:ascii="Times New Roman" w:hAnsi="Times New Roman" w:eastAsia="仿宋GB_2312" w:cs="Times New Roman"/>
          <w:b/>
          <w:color w:val="auto"/>
          <w:sz w:val="24"/>
          <w:szCs w:val="24"/>
        </w:rPr>
        <w:t>1</w:t>
      </w:r>
      <w:r>
        <w:rPr>
          <w:rFonts w:hint="eastAsia" w:ascii="Times New Roman" w:hAnsi="Times New Roman" w:eastAsia="仿宋GB_2312" w:cs="Times New Roman"/>
          <w:b/>
          <w:color w:val="auto"/>
          <w:sz w:val="24"/>
          <w:szCs w:val="24"/>
          <w:lang w:val="en-US" w:eastAsia="zh-CN"/>
        </w:rPr>
        <w:t xml:space="preserve">  </w:t>
      </w:r>
      <w:r>
        <w:rPr>
          <w:rFonts w:hint="default" w:ascii="Times New Roman" w:hAnsi="Times New Roman" w:eastAsia="仿宋GB_2312" w:cs="Times New Roman"/>
          <w:b/>
          <w:color w:val="auto"/>
          <w:sz w:val="24"/>
          <w:szCs w:val="24"/>
        </w:rPr>
        <w:t>企业突发环境事件风险分级流程示意图</w:t>
      </w:r>
    </w:p>
    <w:p>
      <w:pPr>
        <w:rPr>
          <w:color w:val="auto"/>
        </w:rPr>
      </w:pPr>
    </w:p>
    <w:p>
      <w:pPr>
        <w:pStyle w:val="2"/>
        <w:rPr>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117" w:name="_Toc7124"/>
      <w:bookmarkStart w:id="118" w:name="_Toc17682"/>
      <w:bookmarkStart w:id="119" w:name="_Toc4004"/>
      <w:bookmarkStart w:id="120" w:name="_Toc32269"/>
      <w:bookmarkStart w:id="121" w:name="_Toc7052"/>
      <w:bookmarkStart w:id="122" w:name="_Toc24563"/>
      <w:r>
        <w:rPr>
          <w:rFonts w:hint="default" w:ascii="Times New Roman" w:hAnsi="Times New Roman" w:eastAsia="仿宋GB_2312" w:cs="Times New Roman"/>
          <w:color w:val="auto"/>
          <w:szCs w:val="36"/>
        </w:rPr>
        <w:t>3</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资料准备与环境风险识别</w:t>
      </w:r>
      <w:bookmarkEnd w:id="117"/>
      <w:bookmarkEnd w:id="118"/>
      <w:bookmarkEnd w:id="119"/>
      <w:bookmarkEnd w:id="120"/>
      <w:bookmarkEnd w:id="121"/>
      <w:bookmarkEnd w:id="122"/>
    </w:p>
    <w:p>
      <w:pPr>
        <w:pStyle w:val="2"/>
        <w:rPr>
          <w:rFonts w:hint="default" w:ascii="Times New Roman" w:hAnsi="Times New Roman" w:cs="Times New Roman"/>
          <w:color w:val="auto"/>
          <w:sz w:val="30"/>
          <w:szCs w:val="30"/>
        </w:rPr>
      </w:pPr>
      <w:bookmarkStart w:id="123" w:name="_Toc27541"/>
      <w:bookmarkStart w:id="124" w:name="_Toc26241"/>
      <w:bookmarkStart w:id="125" w:name="_Toc31193"/>
      <w:bookmarkStart w:id="126" w:name="_Toc30339"/>
      <w:bookmarkStart w:id="127" w:name="_Toc14286"/>
      <w:r>
        <w:rPr>
          <w:rFonts w:hint="default" w:ascii="Times New Roman" w:hAnsi="Times New Roman" w:cs="Times New Roman"/>
          <w:color w:val="auto"/>
          <w:sz w:val="30"/>
          <w:szCs w:val="30"/>
          <w:lang w:val="en-US" w:eastAsia="zh-CN"/>
        </w:rPr>
        <w:t>3.1</w:t>
      </w:r>
      <w:bookmarkEnd w:id="123"/>
      <w:bookmarkEnd w:id="124"/>
      <w:bookmarkEnd w:id="125"/>
      <w:r>
        <w:rPr>
          <w:rFonts w:hint="eastAsia" w:ascii="Times New Roman" w:hAnsi="Times New Roman" w:cs="Times New Roman"/>
          <w:color w:val="auto"/>
          <w:sz w:val="30"/>
          <w:szCs w:val="30"/>
          <w:lang w:val="en-US" w:eastAsia="zh-CN"/>
        </w:rPr>
        <w:t xml:space="preserve"> </w:t>
      </w:r>
      <w:r>
        <w:rPr>
          <w:rFonts w:hint="eastAsia" w:ascii="Times New Roman" w:hAnsi="Times New Roman" w:cs="Times New Roman"/>
          <w:color w:val="auto"/>
          <w:sz w:val="30"/>
          <w:szCs w:val="30"/>
          <w:lang w:eastAsia="zh-CN"/>
        </w:rPr>
        <w:t>公司基本情况</w:t>
      </w:r>
      <w:bookmarkEnd w:id="126"/>
      <w:bookmarkEnd w:id="127"/>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128" w:name="_Toc19788"/>
      <w:r>
        <w:rPr>
          <w:rFonts w:hint="eastAsia" w:ascii="Times New Roman" w:hAnsi="Times New Roman" w:eastAsia="仿宋" w:cs="Times New Roman"/>
          <w:color w:val="auto"/>
          <w:kern w:val="0"/>
          <w:sz w:val="28"/>
          <w:szCs w:val="28"/>
          <w:highlight w:val="none"/>
          <w:lang w:val="en-US" w:eastAsia="zh-CN" w:bidi="ar"/>
        </w:rPr>
        <w:t>1、单位名称：</w:t>
      </w:r>
      <w:r>
        <w:rPr>
          <w:rFonts w:hint="eastAsia" w:ascii="Times New Roman" w:hAnsi="Times New Roman" w:cs="Times New Roman"/>
          <w:color w:val="auto"/>
          <w:kern w:val="0"/>
          <w:sz w:val="28"/>
          <w:szCs w:val="28"/>
          <w:highlight w:val="none"/>
          <w:lang w:val="en-US" w:eastAsia="zh-CN" w:bidi="ar"/>
        </w:rPr>
        <w:t>咸阳市秦都区宏达建材厂</w:t>
      </w:r>
      <w:r>
        <w:rPr>
          <w:rFonts w:hint="eastAsia" w:ascii="Times New Roman" w:hAnsi="Times New Roman" w:eastAsia="仿宋" w:cs="Times New Roman"/>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2、法定代表人：潘建新；</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3、联系方式：15336107281；</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bookmarkStart w:id="129" w:name="_Toc23458"/>
      <w:bookmarkStart w:id="130" w:name="_Toc25183"/>
      <w:r>
        <w:rPr>
          <w:rFonts w:hint="eastAsia" w:ascii="Times New Roman" w:hAnsi="Times New Roman" w:cs="Times New Roman"/>
          <w:color w:val="auto"/>
          <w:kern w:val="0"/>
          <w:sz w:val="28"/>
          <w:szCs w:val="28"/>
          <w:highlight w:val="none"/>
          <w:lang w:val="en-US" w:eastAsia="zh-CN" w:bidi="ar"/>
        </w:rPr>
        <w:t>4、机构代码：91610402X23249079R ；</w:t>
      </w:r>
      <w:bookmarkEnd w:id="129"/>
      <w:bookmarkEnd w:id="130"/>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cs="Times New Roman"/>
          <w:b w:val="0"/>
          <w:color w:val="auto"/>
          <w:kern w:val="0"/>
          <w:sz w:val="28"/>
          <w:szCs w:val="28"/>
          <w:highlight w:val="none"/>
          <w:lang w:val="en-US" w:eastAsia="zh-CN" w:bidi="ar"/>
        </w:rPr>
        <w:t>5</w:t>
      </w:r>
      <w:r>
        <w:rPr>
          <w:rFonts w:hint="eastAsia" w:ascii="Times New Roman" w:hAnsi="Times New Roman" w:cs="Times New Roman"/>
          <w:color w:val="auto"/>
          <w:kern w:val="0"/>
          <w:sz w:val="28"/>
          <w:szCs w:val="28"/>
          <w:highlight w:val="none"/>
          <w:lang w:val="en-US" w:eastAsia="zh-CN" w:bidi="ar"/>
        </w:rPr>
        <w:t>、单位所在地：西咸新区秦汉新城双照街道咸阳古建集团有限公司建材厂北区厂房；</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cs="Times New Roman"/>
          <w:b w:val="0"/>
          <w:color w:val="auto"/>
          <w:kern w:val="0"/>
          <w:sz w:val="28"/>
          <w:szCs w:val="28"/>
          <w:highlight w:val="none"/>
          <w:lang w:val="en-US" w:eastAsia="zh-CN" w:bidi="ar"/>
        </w:rPr>
        <w:t>6</w:t>
      </w:r>
      <w:r>
        <w:rPr>
          <w:rFonts w:hint="eastAsia" w:ascii="Times New Roman" w:hAnsi="Times New Roman" w:eastAsia="仿宋" w:cs="Times New Roman"/>
          <w:b w:val="0"/>
          <w:color w:val="auto"/>
          <w:kern w:val="0"/>
          <w:sz w:val="28"/>
          <w:szCs w:val="28"/>
          <w:highlight w:val="none"/>
          <w:lang w:val="en-US" w:eastAsia="zh-CN" w:bidi="ar"/>
        </w:rPr>
        <w:t>、中心经纬度：</w:t>
      </w:r>
      <w:r>
        <w:rPr>
          <w:rFonts w:hint="eastAsia" w:ascii="Times New Roman" w:hAnsi="Times New Roman" w:cs="Times New Roman"/>
          <w:color w:val="auto"/>
          <w:kern w:val="0"/>
          <w:sz w:val="28"/>
          <w:szCs w:val="28"/>
          <w:highlight w:val="none"/>
          <w:lang w:val="en-US" w:eastAsia="zh-CN" w:bidi="ar"/>
        </w:rPr>
        <w:t>经度108°38′40.17″，纬度34°22′19.90″；</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7</w:t>
      </w:r>
      <w:r>
        <w:rPr>
          <w:rFonts w:hint="eastAsia" w:ascii="Times New Roman" w:hAnsi="Times New Roman" w:eastAsia="仿宋" w:cs="Times New Roman"/>
          <w:color w:val="auto"/>
          <w:kern w:val="0"/>
          <w:sz w:val="28"/>
          <w:szCs w:val="28"/>
          <w:highlight w:val="none"/>
          <w:lang w:val="en-US" w:eastAsia="zh-CN" w:bidi="ar"/>
        </w:rPr>
        <w:t>、行业类</w:t>
      </w:r>
      <w:r>
        <w:rPr>
          <w:rFonts w:hint="eastAsia" w:ascii="Times New Roman" w:hAnsi="Times New Roman" w:eastAsia="仿宋" w:cs="Times New Roman"/>
          <w:b w:val="0"/>
          <w:color w:val="auto"/>
          <w:kern w:val="0"/>
          <w:sz w:val="28"/>
          <w:szCs w:val="28"/>
          <w:highlight w:val="none"/>
          <w:lang w:val="en-US" w:eastAsia="zh-CN" w:bidi="ar"/>
        </w:rPr>
        <w:t>别</w:t>
      </w:r>
      <w:r>
        <w:rPr>
          <w:rFonts w:hint="eastAsia" w:ascii="Times New Roman" w:hAnsi="Times New Roman" w:eastAsia="仿宋" w:cs="Times New Roman"/>
          <w:color w:val="auto"/>
          <w:kern w:val="0"/>
          <w:sz w:val="28"/>
          <w:szCs w:val="28"/>
          <w:highlight w:val="none"/>
          <w:lang w:val="en-US" w:eastAsia="zh-CN" w:bidi="ar"/>
        </w:rPr>
        <w:t>：其他建筑材料制造C3039；</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8、建厂年月：20</w:t>
      </w:r>
      <w:r>
        <w:rPr>
          <w:rFonts w:hint="eastAsia" w:ascii="Times New Roman" w:hAnsi="Times New Roman" w:cs="Times New Roman"/>
          <w:b w:val="0"/>
          <w:color w:val="auto"/>
          <w:kern w:val="0"/>
          <w:sz w:val="28"/>
          <w:szCs w:val="28"/>
          <w:highlight w:val="none"/>
          <w:lang w:val="en-US" w:eastAsia="zh-CN" w:bidi="ar"/>
        </w:rPr>
        <w:t>17</w:t>
      </w:r>
      <w:r>
        <w:rPr>
          <w:rFonts w:hint="eastAsia" w:ascii="Times New Roman" w:hAnsi="Times New Roman" w:eastAsia="仿宋" w:cs="Times New Roman"/>
          <w:b w:val="0"/>
          <w:color w:val="auto"/>
          <w:kern w:val="0"/>
          <w:sz w:val="28"/>
          <w:szCs w:val="28"/>
          <w:highlight w:val="none"/>
          <w:lang w:val="en-US" w:eastAsia="zh-CN" w:bidi="ar"/>
        </w:rPr>
        <w:t>年</w:t>
      </w:r>
      <w:r>
        <w:rPr>
          <w:rFonts w:hint="eastAsia" w:ascii="Times New Roman" w:hAnsi="Times New Roman" w:cs="Times New Roman"/>
          <w:b w:val="0"/>
          <w:color w:val="auto"/>
          <w:kern w:val="0"/>
          <w:sz w:val="28"/>
          <w:szCs w:val="28"/>
          <w:highlight w:val="none"/>
          <w:lang w:val="en-US" w:eastAsia="zh-CN" w:bidi="ar"/>
        </w:rPr>
        <w:t>2</w:t>
      </w:r>
      <w:r>
        <w:rPr>
          <w:rFonts w:hint="eastAsia" w:ascii="Times New Roman" w:hAnsi="Times New Roman" w:eastAsia="仿宋" w:cs="Times New Roman"/>
          <w:b w:val="0"/>
          <w:color w:val="auto"/>
          <w:kern w:val="0"/>
          <w:sz w:val="28"/>
          <w:szCs w:val="28"/>
          <w:highlight w:val="none"/>
          <w:lang w:val="en-US" w:eastAsia="zh-CN" w:bidi="ar"/>
        </w:rPr>
        <w:t>月；</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9、企业规模：年生产</w:t>
      </w:r>
      <w:r>
        <w:rPr>
          <w:rFonts w:hint="eastAsia" w:ascii="Times New Roman" w:hAnsi="Times New Roman" w:cs="Times New Roman"/>
          <w:b w:val="0"/>
          <w:color w:val="auto"/>
          <w:kern w:val="0"/>
          <w:sz w:val="28"/>
          <w:szCs w:val="28"/>
          <w:highlight w:val="none"/>
          <w:lang w:val="en-US" w:eastAsia="zh-CN" w:bidi="ar"/>
        </w:rPr>
        <w:t>混凝土外加剂2000t</w:t>
      </w:r>
      <w:r>
        <w:rPr>
          <w:rFonts w:hint="eastAsia" w:ascii="Times New Roman" w:hAnsi="Times New Roman" w:eastAsia="仿宋" w:cs="Times New Roman"/>
          <w:b w:val="0"/>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10、厂区面积：</w:t>
      </w:r>
      <w:r>
        <w:rPr>
          <w:rFonts w:hint="eastAsia" w:ascii="Times New Roman" w:hAnsi="Times New Roman" w:cs="Times New Roman"/>
          <w:b w:val="0"/>
          <w:color w:val="auto"/>
          <w:kern w:val="0"/>
          <w:sz w:val="28"/>
          <w:szCs w:val="28"/>
          <w:highlight w:val="none"/>
          <w:lang w:val="en-US" w:eastAsia="zh-CN" w:bidi="ar"/>
        </w:rPr>
        <w:t>3200</w:t>
      </w:r>
      <w:r>
        <w:rPr>
          <w:rFonts w:hint="eastAsia" w:ascii="Times New Roman" w:hAnsi="Times New Roman" w:eastAsia="仿宋" w:cs="Times New Roman"/>
          <w:b w:val="0"/>
          <w:color w:val="auto"/>
          <w:kern w:val="0"/>
          <w:sz w:val="28"/>
          <w:szCs w:val="28"/>
          <w:highlight w:val="none"/>
          <w:lang w:val="en-US" w:eastAsia="zh-CN" w:bidi="ar"/>
        </w:rPr>
        <w:t>m</w:t>
      </w:r>
      <w:r>
        <w:rPr>
          <w:rFonts w:hint="eastAsia" w:ascii="Times New Roman" w:hAnsi="Times New Roman" w:eastAsia="仿宋" w:cs="Times New Roman"/>
          <w:b w:val="0"/>
          <w:color w:val="auto"/>
          <w:kern w:val="0"/>
          <w:sz w:val="28"/>
          <w:szCs w:val="28"/>
          <w:highlight w:val="none"/>
          <w:vertAlign w:val="superscript"/>
          <w:lang w:val="en-US" w:eastAsia="zh-CN" w:bidi="ar"/>
        </w:rPr>
        <w:t>2</w:t>
      </w:r>
      <w:r>
        <w:rPr>
          <w:rFonts w:hint="eastAsia" w:ascii="Times New Roman" w:hAnsi="Times New Roman" w:eastAsia="仿宋" w:cs="Times New Roman"/>
          <w:b w:val="0"/>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FF0000"/>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11、从业人数：现有员工</w:t>
      </w:r>
      <w:r>
        <w:rPr>
          <w:rFonts w:hint="eastAsia" w:ascii="Times New Roman" w:hAnsi="Times New Roman" w:cs="Times New Roman"/>
          <w:b w:val="0"/>
          <w:color w:val="auto"/>
          <w:kern w:val="0"/>
          <w:sz w:val="28"/>
          <w:szCs w:val="28"/>
          <w:highlight w:val="none"/>
          <w:lang w:val="en-US" w:eastAsia="zh-CN" w:bidi="ar"/>
        </w:rPr>
        <w:t>6</w:t>
      </w:r>
      <w:r>
        <w:rPr>
          <w:rFonts w:hint="eastAsia" w:ascii="Times New Roman" w:hAnsi="Times New Roman" w:eastAsia="仿宋" w:cs="Times New Roman"/>
          <w:b w:val="0"/>
          <w:color w:val="auto"/>
          <w:kern w:val="0"/>
          <w:sz w:val="28"/>
          <w:szCs w:val="28"/>
          <w:highlight w:val="none"/>
          <w:lang w:val="en-US" w:eastAsia="zh-CN" w:bidi="ar"/>
        </w:rPr>
        <w:t>人，8小时</w:t>
      </w:r>
      <w:r>
        <w:rPr>
          <w:rFonts w:hint="eastAsia" w:ascii="Times New Roman" w:hAnsi="Times New Roman" w:cs="Times New Roman"/>
          <w:b w:val="0"/>
          <w:color w:val="auto"/>
          <w:kern w:val="0"/>
          <w:sz w:val="28"/>
          <w:szCs w:val="28"/>
          <w:highlight w:val="none"/>
          <w:lang w:val="en-US" w:eastAsia="zh-CN" w:bidi="ar"/>
        </w:rPr>
        <w:t>工作</w:t>
      </w:r>
      <w:r>
        <w:rPr>
          <w:rFonts w:hint="eastAsia" w:ascii="Times New Roman" w:hAnsi="Times New Roman" w:eastAsia="仿宋" w:cs="Times New Roman"/>
          <w:b w:val="0"/>
          <w:color w:val="auto"/>
          <w:kern w:val="0"/>
          <w:sz w:val="28"/>
          <w:szCs w:val="28"/>
          <w:highlight w:val="none"/>
          <w:lang w:val="en-US" w:eastAsia="zh-CN" w:bidi="ar"/>
        </w:rPr>
        <w:t>制，年运行时间300天。</w:t>
      </w:r>
    </w:p>
    <w:p>
      <w:pPr>
        <w:pStyle w:val="2"/>
        <w:rPr>
          <w:rFonts w:hint="default" w:ascii="Times New Roman" w:hAnsi="Times New Roman" w:cs="Times New Roman"/>
          <w:color w:val="auto"/>
          <w:sz w:val="30"/>
          <w:szCs w:val="30"/>
          <w:lang w:val="en-US" w:eastAsia="zh-CN"/>
        </w:rPr>
      </w:pPr>
      <w:bookmarkStart w:id="131" w:name="_Toc3237"/>
      <w:r>
        <w:rPr>
          <w:rFonts w:hint="eastAsia" w:ascii="Times New Roman" w:hAnsi="Times New Roman" w:cs="Times New Roman"/>
          <w:color w:val="auto"/>
          <w:sz w:val="30"/>
          <w:szCs w:val="30"/>
          <w:lang w:val="en-US" w:eastAsia="zh-CN"/>
        </w:rPr>
        <w:t>3</w:t>
      </w:r>
      <w:r>
        <w:rPr>
          <w:rFonts w:hint="default" w:ascii="Times New Roman" w:hAnsi="Times New Roman" w:cs="Times New Roman"/>
          <w:color w:val="auto"/>
          <w:sz w:val="30"/>
          <w:szCs w:val="30"/>
          <w:lang w:val="en-US" w:eastAsia="zh-CN"/>
        </w:rPr>
        <w:t>.</w:t>
      </w:r>
      <w:r>
        <w:rPr>
          <w:rFonts w:hint="eastAsia" w:ascii="Times New Roman" w:hAnsi="Times New Roman" w:cs="Times New Roman"/>
          <w:color w:val="auto"/>
          <w:sz w:val="30"/>
          <w:szCs w:val="30"/>
          <w:lang w:val="en-US" w:eastAsia="zh-CN"/>
        </w:rPr>
        <w:t xml:space="preserve">2 </w:t>
      </w:r>
      <w:r>
        <w:rPr>
          <w:rFonts w:hint="default" w:ascii="Times New Roman" w:hAnsi="Times New Roman" w:cs="Times New Roman"/>
          <w:color w:val="auto"/>
          <w:sz w:val="30"/>
          <w:szCs w:val="30"/>
          <w:lang w:val="en-US" w:eastAsia="zh-CN"/>
        </w:rPr>
        <w:t>自然环境</w:t>
      </w:r>
      <w:bookmarkEnd w:id="128"/>
      <w:bookmarkEnd w:id="131"/>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32" w:name="_Toc9059"/>
      <w:bookmarkStart w:id="133" w:name="_Toc19679"/>
      <w:r>
        <w:rPr>
          <w:rFonts w:hint="eastAsia" w:ascii="Times New Roman" w:hAnsi="Times New Roman" w:eastAsia="仿宋" w:cs="Times New Roman"/>
          <w:bCs w:val="0"/>
          <w:color w:val="auto"/>
          <w:kern w:val="2"/>
          <w:sz w:val="28"/>
          <w:szCs w:val="24"/>
          <w:lang w:val="en-US" w:eastAsia="zh-CN" w:bidi="ar-SA"/>
        </w:rPr>
        <w:t xml:space="preserve">3.2.1 </w:t>
      </w:r>
      <w:r>
        <w:rPr>
          <w:rFonts w:hint="default" w:ascii="Times New Roman" w:hAnsi="Times New Roman" w:eastAsia="仿宋" w:cs="Times New Roman"/>
          <w:bCs w:val="0"/>
          <w:color w:val="auto"/>
          <w:kern w:val="2"/>
          <w:sz w:val="28"/>
          <w:szCs w:val="24"/>
          <w:lang w:val="en-US" w:eastAsia="zh-CN" w:bidi="ar-SA"/>
        </w:rPr>
        <w:t>地理位置</w:t>
      </w:r>
      <w:bookmarkEnd w:id="132"/>
      <w:bookmarkEnd w:id="133"/>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134" w:name="_Toc248"/>
      <w:bookmarkStart w:id="135" w:name="_Toc18028"/>
      <w:r>
        <w:rPr>
          <w:rFonts w:hint="eastAsia" w:ascii="Times New Roman" w:hAnsi="Times New Roman" w:eastAsia="仿宋" w:cs="Times New Roman"/>
          <w:color w:val="auto"/>
          <w:kern w:val="0"/>
          <w:sz w:val="28"/>
          <w:szCs w:val="28"/>
          <w:highlight w:val="none"/>
          <w:lang w:val="en-US" w:eastAsia="zh-CN" w:bidi="ar"/>
        </w:rPr>
        <w:t>西咸新区是经国务院批准设立的首个以创新城市发展方式为主题的国家级新区。位于陕西省西安市和咸阳市建成区之间，区域范围涉及西安、咸阳两市所辖7县（区）23个乡镇和街道办事处，规划控制面积882平方公里。区内分为空港新城、沣东新城、秦汉新城、沣西新城和泾河新城。</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双照街道地处咸阳市秦都区西北部，现属西咸新区秦汉新城管辖，距咸阳市区7公里，西邻兴平、北接礼泉、东连渭城。辖区总面积71平方公里，耕地6.8万亩，全办总人口4.1万(其中农村人口3.8万)，辖36个行政村，173个村民小组，8960户，共有46个基层党支部，1316名党员，截止目前农民人均收入10702元。全办共有规模以上企业16家，中小学校、幼儿园16所，医院2家、村级卫生室36个、综合文化站1个。</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大王村位于双照镇正南方向，距离咸阳市区10公里，交通便捷。村里有176户，人口784人，有5个村民小组。村里共4条街道，柏油路面4条。本村现有耕地1200亩，其中粮食面积600亩，以小麦、玉米为主；果树面积600亩。共有机井4眼，铺设暗管1300米，主导产业粮食、果树。</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r>
        <w:rPr>
          <w:rFonts w:hint="eastAsia" w:ascii="Times New Roman" w:hAnsi="Times New Roman" w:eastAsia="仿宋" w:cs="Times New Roman"/>
          <w:bCs w:val="0"/>
          <w:color w:val="auto"/>
          <w:kern w:val="2"/>
          <w:sz w:val="28"/>
          <w:szCs w:val="24"/>
          <w:lang w:val="en-US" w:eastAsia="zh-CN" w:bidi="ar-SA"/>
        </w:rPr>
        <w:t xml:space="preserve">3.2.2 </w:t>
      </w:r>
      <w:r>
        <w:rPr>
          <w:rFonts w:hint="default" w:ascii="Times New Roman" w:hAnsi="Times New Roman" w:eastAsia="仿宋" w:cs="Times New Roman"/>
          <w:bCs w:val="0"/>
          <w:color w:val="auto"/>
          <w:kern w:val="2"/>
          <w:sz w:val="28"/>
          <w:szCs w:val="24"/>
          <w:lang w:val="en-US" w:eastAsia="zh-CN" w:bidi="ar-SA"/>
        </w:rPr>
        <w:t>地形、地貌</w:t>
      </w:r>
      <w:bookmarkEnd w:id="134"/>
      <w:bookmarkEnd w:id="135"/>
      <w:r>
        <w:rPr>
          <w:rFonts w:hint="eastAsia" w:ascii="Times New Roman" w:hAnsi="Times New Roman" w:cs="Times New Roman"/>
          <w:bCs w:val="0"/>
          <w:color w:val="auto"/>
          <w:kern w:val="2"/>
          <w:sz w:val="28"/>
          <w:szCs w:val="24"/>
          <w:lang w:val="en-US" w:eastAsia="zh-CN" w:bidi="ar-SA"/>
        </w:rPr>
        <w:t>、地质</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136" w:name="_Toc10326"/>
      <w:r>
        <w:rPr>
          <w:rFonts w:hint="eastAsia" w:ascii="Times New Roman" w:hAnsi="Times New Roman" w:eastAsia="仿宋" w:cs="Times New Roman"/>
          <w:color w:val="auto"/>
          <w:kern w:val="0"/>
          <w:sz w:val="28"/>
          <w:szCs w:val="28"/>
          <w:highlight w:val="none"/>
          <w:lang w:val="en-US" w:eastAsia="zh-CN" w:bidi="ar"/>
        </w:rPr>
        <w:t>秦汉新城地处渭河北侧，泾河东南侧，地势中部高南北低，地貌类型包括冲积洪积平原和黄土台塬，北部、中部为冲积平原，自西向东逐渐展宽降低，大部分海拔400m，地势平坦。中部为黄土台塬，位于泾河以南，塬面开阔，地势平坦，海拔为430-500m。南部大致以宝鸡峡高干渠为分界线，为冲积平原区，隔渭河与西安相望。大部分地区坡度较缓，在2%以内，阶地前缘和塬边坡度较陡。</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秦汉新城地质基础是古老的华北阶地，属于变质花岗岩类地质，内有3条活动断裂穿过，分别是渭河断裂、咸阳——长安断裂和泾灞河断裂。活动断裂带两侧稳定性差，对周边人民生活及工农业生产形成较大威胁。地震设防烈度：根据《中国地震动参数区划图》（GB18306-2001），秦汉新城范围内地震动峰值加速度为0.15，地震基本烈度值为VII度。</w:t>
      </w:r>
    </w:p>
    <w:bookmarkEnd w:id="136"/>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37" w:name="_Toc31927"/>
      <w:bookmarkStart w:id="138" w:name="_Toc12888"/>
      <w:r>
        <w:rPr>
          <w:rFonts w:hint="eastAsia" w:ascii="Times New Roman" w:hAnsi="Times New Roman" w:eastAsia="仿宋" w:cs="Times New Roman"/>
          <w:bCs w:val="0"/>
          <w:color w:val="auto"/>
          <w:kern w:val="2"/>
          <w:sz w:val="28"/>
          <w:szCs w:val="24"/>
          <w:lang w:val="en-US" w:eastAsia="zh-CN" w:bidi="ar-SA"/>
        </w:rPr>
        <w:t>3.2.</w:t>
      </w:r>
      <w:r>
        <w:rPr>
          <w:rFonts w:hint="eastAsia" w:ascii="Times New Roman" w:hAnsi="Times New Roman" w:cs="Times New Roman"/>
          <w:bCs w:val="0"/>
          <w:color w:val="auto"/>
          <w:kern w:val="2"/>
          <w:sz w:val="28"/>
          <w:szCs w:val="24"/>
          <w:lang w:val="en-US" w:eastAsia="zh-CN" w:bidi="ar-SA"/>
        </w:rPr>
        <w:t>3</w:t>
      </w:r>
      <w:r>
        <w:rPr>
          <w:rFonts w:hint="eastAsia"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气候</w:t>
      </w:r>
      <w:bookmarkEnd w:id="137"/>
      <w:bookmarkEnd w:id="138"/>
      <w:r>
        <w:rPr>
          <w:rFonts w:hint="eastAsia" w:ascii="Times New Roman" w:hAnsi="Times New Roman" w:cs="Times New Roman"/>
          <w:bCs w:val="0"/>
          <w:color w:val="auto"/>
          <w:kern w:val="2"/>
          <w:sz w:val="28"/>
          <w:szCs w:val="24"/>
          <w:lang w:val="en-US" w:eastAsia="zh-CN" w:bidi="ar-SA"/>
        </w:rPr>
        <w:t>气象</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default" w:ascii="Times New Roman" w:hAnsi="Times New Roman" w:eastAsia="仿宋" w:cs="Times New Roman"/>
          <w:color w:val="auto"/>
          <w:kern w:val="0"/>
          <w:sz w:val="28"/>
          <w:szCs w:val="28"/>
          <w:highlight w:val="none"/>
          <w:lang w:val="en-US" w:eastAsia="zh-CN" w:bidi="ar"/>
        </w:rPr>
      </w:pPr>
      <w:bookmarkStart w:id="139" w:name="_Toc21786_WPSOffice_Level3"/>
      <w:bookmarkStart w:id="140" w:name="_Toc15590_WPSOffice_Level3"/>
      <w:bookmarkStart w:id="141" w:name="_Toc18526_WPSOffice_Level3"/>
      <w:bookmarkStart w:id="142" w:name="_Toc26731_WPSOffice_Level3"/>
      <w:bookmarkStart w:id="143" w:name="_Toc29378"/>
      <w:r>
        <w:rPr>
          <w:rFonts w:hint="eastAsia" w:ascii="Times New Roman" w:hAnsi="Times New Roman" w:eastAsia="仿宋" w:cs="Times New Roman"/>
          <w:color w:val="auto"/>
          <w:kern w:val="0"/>
          <w:sz w:val="28"/>
          <w:szCs w:val="28"/>
          <w:highlight w:val="none"/>
          <w:lang w:val="en-US" w:eastAsia="zh-CN" w:bidi="ar"/>
        </w:rPr>
        <w:t>秦汉新城所在地区属暖温带大陆性季风气候，四季冷暖、干湿分明。年平均气温13°C，冬季（1月）最冷为-20.8°C，夏季最热（7月）为41.4°C。年均降水量548.7mm，降水主要集中在5-10月，最多降水量829.7mm，最少为349.2mm。日照时数年平均为2195.2h，最多（8月）为241.6h，最少（2月）为146.2h。无霜期年均213天。</w:t>
      </w:r>
    </w:p>
    <w:bookmarkEnd w:id="139"/>
    <w:bookmarkEnd w:id="140"/>
    <w:bookmarkEnd w:id="141"/>
    <w:bookmarkEnd w:id="142"/>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44" w:name="_Toc28092"/>
      <w:r>
        <w:rPr>
          <w:rFonts w:hint="eastAsia" w:ascii="Times New Roman" w:hAnsi="Times New Roman" w:eastAsia="仿宋" w:cs="Times New Roman"/>
          <w:bCs w:val="0"/>
          <w:color w:val="auto"/>
          <w:kern w:val="2"/>
          <w:sz w:val="28"/>
          <w:szCs w:val="24"/>
          <w:lang w:val="en-US" w:eastAsia="zh-CN" w:bidi="ar-SA"/>
        </w:rPr>
        <w:t>3.2.</w:t>
      </w:r>
      <w:r>
        <w:rPr>
          <w:rFonts w:hint="eastAsia" w:ascii="Times New Roman" w:hAnsi="Times New Roman" w:cs="Times New Roman"/>
          <w:bCs w:val="0"/>
          <w:color w:val="auto"/>
          <w:kern w:val="2"/>
          <w:sz w:val="28"/>
          <w:szCs w:val="24"/>
          <w:lang w:val="en-US" w:eastAsia="zh-CN" w:bidi="ar-SA"/>
        </w:rPr>
        <w:t>4</w:t>
      </w:r>
      <w:r>
        <w:rPr>
          <w:rFonts w:hint="eastAsia"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水文</w:t>
      </w:r>
      <w:bookmarkEnd w:id="143"/>
      <w:bookmarkEnd w:id="144"/>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区内地表水体主要有渭河和泾河。其中泾河发源于宁夏回族自治区泾源县境内的老龙潭，自西北向东南流经宁夏、甘肃、陕西三省（自治区），于陕西省高陵县余楚乡马渡村附近汇入渭河，全流域面积45421km²，干流全长455.1km，河道平均比降2.47‰；泾河是渭河北岸的一级支流，也是陕西省关中三大河流之一，泾阳境内河长约77km，流域面积634km²，自上而下依次穿越泾阳县白王、王桥、桥底、太平、中张、泾干、崇文、高庄8个乡镇。渭河属黄河一级支流，渭河流域范围主要在陕西省中部。发源于甘肃省渭源县鸟鼠山，东至陕西省渭南市，潼关县汇入黄河。南有东西走向的秦岭横亘，北有六盘山屏障。从武功县大庄圪涝村入境，境内河长86.27km，流域面积3612.5km²，多年平均径流为54.73亿m³，平均流量165.02m³/s。</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left"/>
        <w:textAlignment w:val="auto"/>
        <w:rPr>
          <w:rFonts w:hint="default"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本项目最近的地表水体为渭河，距离项目地点约12km。</w:t>
      </w:r>
    </w:p>
    <w:p>
      <w:pPr>
        <w:pStyle w:val="2"/>
        <w:rPr>
          <w:rFonts w:hint="eastAsia" w:ascii="Times New Roman" w:hAnsi="Times New Roman" w:cs="Times New Roman"/>
          <w:color w:val="auto"/>
          <w:sz w:val="30"/>
          <w:szCs w:val="30"/>
          <w:lang w:val="en-US" w:eastAsia="zh-CN"/>
        </w:rPr>
      </w:pPr>
      <w:bookmarkStart w:id="145" w:name="_Toc10076"/>
      <w:bookmarkStart w:id="146" w:name="_Toc18647"/>
      <w:r>
        <w:rPr>
          <w:rFonts w:hint="default" w:ascii="Times New Roman" w:hAnsi="Times New Roman" w:cs="Times New Roman"/>
          <w:color w:val="auto"/>
          <w:sz w:val="30"/>
          <w:szCs w:val="30"/>
          <w:lang w:val="en-US" w:eastAsia="zh-CN"/>
        </w:rPr>
        <w:t>3.</w:t>
      </w:r>
      <w:r>
        <w:rPr>
          <w:rFonts w:hint="eastAsia" w:ascii="Times New Roman" w:hAnsi="Times New Roman" w:cs="Times New Roman"/>
          <w:color w:val="auto"/>
          <w:sz w:val="30"/>
          <w:szCs w:val="30"/>
          <w:lang w:val="en-US" w:eastAsia="zh-CN"/>
        </w:rPr>
        <w:t>3 工艺简介</w:t>
      </w:r>
      <w:bookmarkEnd w:id="145"/>
      <w:bookmarkEnd w:id="146"/>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r>
        <w:rPr>
          <w:rFonts w:hint="default" w:ascii="Times New Roman" w:hAnsi="Times New Roman" w:eastAsia="仿宋" w:cs="Times New Roman"/>
          <w:bCs w:val="0"/>
          <w:color w:val="auto"/>
          <w:kern w:val="2"/>
          <w:sz w:val="28"/>
          <w:szCs w:val="24"/>
          <w:lang w:val="en-US" w:eastAsia="zh-CN" w:bidi="ar-SA"/>
        </w:rPr>
        <w:t>3.</w:t>
      </w:r>
      <w:r>
        <w:rPr>
          <w:rFonts w:hint="eastAsia" w:ascii="Times New Roman" w:hAnsi="Times New Roman" w:cs="Times New Roman"/>
          <w:bCs w:val="0"/>
          <w:color w:val="auto"/>
          <w:kern w:val="2"/>
          <w:sz w:val="28"/>
          <w:szCs w:val="24"/>
          <w:lang w:val="en-US" w:eastAsia="zh-CN" w:bidi="ar-SA"/>
        </w:rPr>
        <w:t>3</w:t>
      </w:r>
      <w:r>
        <w:rPr>
          <w:rFonts w:hint="default" w:ascii="Times New Roman" w:hAnsi="Times New Roman" w:eastAsia="仿宋" w:cs="Times New Roman"/>
          <w:bCs w:val="0"/>
          <w:color w:val="auto"/>
          <w:kern w:val="2"/>
          <w:sz w:val="28"/>
          <w:szCs w:val="24"/>
          <w:lang w:val="en-US" w:eastAsia="zh-CN" w:bidi="ar-SA"/>
        </w:rPr>
        <w:t>.</w:t>
      </w:r>
      <w:r>
        <w:rPr>
          <w:rFonts w:hint="eastAsia" w:ascii="Times New Roman" w:hAnsi="Times New Roman" w:cs="Times New Roman"/>
          <w:bCs w:val="0"/>
          <w:color w:val="auto"/>
          <w:kern w:val="2"/>
          <w:sz w:val="28"/>
          <w:szCs w:val="24"/>
          <w:lang w:val="en-US" w:eastAsia="zh-CN" w:bidi="ar-SA"/>
        </w:rPr>
        <w:t xml:space="preserve">1 </w:t>
      </w:r>
      <w:r>
        <w:rPr>
          <w:rFonts w:hint="default" w:ascii="Times New Roman" w:hAnsi="Times New Roman" w:eastAsia="仿宋" w:cs="Times New Roman"/>
          <w:bCs w:val="0"/>
          <w:color w:val="auto"/>
          <w:kern w:val="2"/>
          <w:sz w:val="28"/>
          <w:szCs w:val="24"/>
          <w:lang w:val="en-US" w:eastAsia="zh-CN" w:bidi="ar-SA"/>
        </w:rPr>
        <w:t>工艺流程</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jc w:val="left"/>
        <w:textAlignment w:val="auto"/>
        <w:rPr>
          <w:rFonts w:hint="default" w:ascii="Times New Roman" w:hAnsi="Times New Roman" w:eastAsia="仿宋" w:cs="Times New Roman"/>
          <w:color w:val="auto"/>
          <w:kern w:val="0"/>
          <w:sz w:val="28"/>
          <w:szCs w:val="28"/>
          <w:highlight w:val="none"/>
          <w:lang w:val="en-US" w:eastAsia="zh-CN" w:bidi="ar"/>
        </w:rPr>
      </w:pPr>
      <w:r>
        <w:drawing>
          <wp:inline distT="0" distB="0" distL="114300" distR="114300">
            <wp:extent cx="5436235" cy="2088515"/>
            <wp:effectExtent l="0" t="0" r="12065"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436235" cy="2088515"/>
                    </a:xfrm>
                    <a:prstGeom prst="rect">
                      <a:avLst/>
                    </a:prstGeom>
                    <a:noFill/>
                    <a:ln w="9525">
                      <a:noFill/>
                    </a:ln>
                  </pic:spPr>
                </pic:pic>
              </a:graphicData>
            </a:graphic>
          </wp:inline>
        </w:drawing>
      </w:r>
    </w:p>
    <w:p>
      <w:pPr>
        <w:ind w:firstLine="560" w:firstLineChars="200"/>
        <w:jc w:val="center"/>
        <w:rPr>
          <w:rFonts w:hint="eastAsia" w:ascii="Times New Roman" w:hAnsi="Times New Roman" w:cs="Times New Roman"/>
          <w:color w:val="auto"/>
          <w:kern w:val="0"/>
          <w:sz w:val="28"/>
          <w:szCs w:val="28"/>
          <w:lang w:val="en-US" w:eastAsia="zh-CN" w:bidi="ar"/>
        </w:rPr>
      </w:pPr>
      <w:r>
        <w:rPr>
          <w:rFonts w:hint="eastAsia" w:ascii="Times New Roman" w:hAnsi="Times New Roman" w:cs="Times New Roman"/>
          <w:color w:val="auto"/>
          <w:kern w:val="0"/>
          <w:sz w:val="28"/>
          <w:szCs w:val="28"/>
          <w:lang w:val="en-US" w:eastAsia="zh-CN" w:bidi="ar"/>
        </w:rPr>
        <w:t>图3.3-1 工艺流程及产污环节图</w:t>
      </w:r>
    </w:p>
    <w:p>
      <w:pPr>
        <w:ind w:firstLine="560" w:firstLineChars="200"/>
        <w:rPr>
          <w:rFonts w:hint="eastAsia"/>
          <w:color w:val="auto"/>
          <w:lang w:val="en-US" w:eastAsia="zh-CN"/>
        </w:rPr>
      </w:pPr>
      <w:r>
        <w:rPr>
          <w:rFonts w:hint="eastAsia"/>
          <w:color w:val="auto"/>
          <w:lang w:val="en-US" w:eastAsia="zh-CN"/>
        </w:rPr>
        <w:t>本企业生产的产品属于单纯化学品的混合、复配，缓凝剂、防冻剂和泵送剂的工艺流程以及产污环节均基本相同。主要是将减水剂加入水和不同的功能性辅料（糖蜜、葡萄糖酸钠、柠檬酸钠、纯碱、亚硝酸钠等），搅拌或加热搅拌均匀即可制得相应的外加剂。整个生产过程均采用自动化控制，可以自动调节、控制原辅料的加入量。</w:t>
      </w:r>
    </w:p>
    <w:p>
      <w:pPr>
        <w:pStyle w:val="30"/>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缓凝剂：首先将原液计量后加入釜中，然后将计量好的柠檬酸钠、糖蜜、葡萄糖酸钠、K12、水中的一种或多种（根据客户需求添加）加入釜中，在50℃下搅拌0.5h至充分溶解，搅拌均匀后，取样检验其流动度和凝结时间（与水泥和水经一定比例勾兑后，流动度≥190mm、初凝时间≥8小时、终凝时间≤10小时，即为合格产品）。经检验合格后装车或打入储存罐或打到搅拌器用于进一步加工，不合格则打入反应釜进行再生产。</w:t>
      </w:r>
    </w:p>
    <w:p>
      <w:pPr>
        <w:pStyle w:val="30"/>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防冻剂：首先将原液计量后加入釜中，然后将计量好柠檬酸钠、葡萄糖酸钠、糖蜜、K12、纯碱、亚硝酸钠、水中的一种或多种（根据客户需求添加）加入釜中，在50℃下搅拌0.5h至充分溶解，搅拌均匀后取样检验其流动度和凝结时间（与水泥和水经一定比例勾兑后，流动度≥190mm、初凝时间≥4小时、终凝时间≤12小时，即为合格产品）。经检测合格后装车或打入储存罐，不合格则打入搅拌罐进行再生产。</w:t>
      </w:r>
    </w:p>
    <w:p>
      <w:pPr>
        <w:pStyle w:val="30"/>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泵送剂：首先将原液计量后加入釜中，然后将计量好的亚硝酸钠、K12、柠檬酸钠、纯碱、水中的一种或多种（根据客户需求添加）加入釜中，在50℃下加热搅拌1-2h至充分溶解，搅拌均匀后取样检验其流动度和凝结时间（与水泥和水经一定比例勾兑后，流动度≥190mm、初凝时间≥6小时、终凝时间≤8小时，即为合格产品）。经检验合格后装车或打入储存罐，不合格则打入搅拌罐进行再生产。</w:t>
      </w:r>
    </w:p>
    <w:p>
      <w:pPr>
        <w:pStyle w:val="30"/>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该项目生产过程中的热源为燃气锅炉，会产生废气、废水和噪声；项目所用的原液全部为外购成品，该项目不生产原液，仅涉及化学品的混合、复配，生产工艺过程中只有物理反应，无化学反应；生产的外加剂成品直接由槽罐车外运至各个工地或临时储存于成品罐后外运，储存时间较短。</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47" w:name="_Toc2528"/>
      <w:r>
        <w:rPr>
          <w:rFonts w:hint="default" w:ascii="Times New Roman" w:hAnsi="Times New Roman" w:eastAsia="仿宋" w:cs="Times New Roman"/>
          <w:bCs w:val="0"/>
          <w:color w:val="auto"/>
          <w:kern w:val="2"/>
          <w:sz w:val="28"/>
          <w:szCs w:val="24"/>
          <w:lang w:val="en-US" w:eastAsia="zh-CN" w:bidi="ar-SA"/>
        </w:rPr>
        <w:t>3.</w:t>
      </w:r>
      <w:r>
        <w:rPr>
          <w:rFonts w:hint="eastAsia" w:ascii="Times New Roman" w:hAnsi="Times New Roman" w:eastAsia="仿宋" w:cs="Times New Roman"/>
          <w:bCs w:val="0"/>
          <w:color w:val="auto"/>
          <w:kern w:val="2"/>
          <w:sz w:val="28"/>
          <w:szCs w:val="24"/>
          <w:lang w:val="en-US" w:eastAsia="zh-CN" w:bidi="ar-SA"/>
        </w:rPr>
        <w:t>3</w:t>
      </w:r>
      <w:r>
        <w:rPr>
          <w:rFonts w:hint="default" w:ascii="Times New Roman" w:hAnsi="Times New Roman" w:eastAsia="仿宋" w:cs="Times New Roman"/>
          <w:bCs w:val="0"/>
          <w:color w:val="auto"/>
          <w:kern w:val="2"/>
          <w:sz w:val="28"/>
          <w:szCs w:val="24"/>
          <w:lang w:val="en-US" w:eastAsia="zh-CN" w:bidi="ar-SA"/>
        </w:rPr>
        <w:t>.</w:t>
      </w:r>
      <w:r>
        <w:rPr>
          <w:rFonts w:hint="eastAsia" w:ascii="Times New Roman" w:hAnsi="Times New Roman" w:cs="Times New Roman"/>
          <w:bCs w:val="0"/>
          <w:color w:val="auto"/>
          <w:kern w:val="2"/>
          <w:sz w:val="28"/>
          <w:szCs w:val="24"/>
          <w:lang w:val="en-US" w:eastAsia="zh-CN" w:bidi="ar-SA"/>
        </w:rPr>
        <w:t xml:space="preserve">2 </w:t>
      </w:r>
      <w:r>
        <w:rPr>
          <w:rFonts w:hint="default" w:ascii="Times New Roman" w:hAnsi="Times New Roman" w:eastAsia="仿宋" w:cs="Times New Roman"/>
          <w:bCs w:val="0"/>
          <w:color w:val="auto"/>
          <w:kern w:val="2"/>
          <w:sz w:val="28"/>
          <w:szCs w:val="24"/>
          <w:lang w:val="en-US" w:eastAsia="zh-CN" w:bidi="ar-SA"/>
        </w:rPr>
        <w:t>主要设备及原辅材料</w:t>
      </w:r>
      <w:bookmarkEnd w:id="147"/>
    </w:p>
    <w:p>
      <w:pPr>
        <w:spacing w:after="62" w:afterLines="20" w:line="240" w:lineRule="auto"/>
        <w:jc w:val="center"/>
        <w:rPr>
          <w:rFonts w:hint="default" w:ascii="Times New Roman" w:hAnsi="Times New Roman" w:cs="Times New Roman"/>
          <w:b/>
          <w:bCs/>
          <w:color w:val="auto"/>
          <w:sz w:val="24"/>
          <w:szCs w:val="24"/>
          <w:highlight w:val="none"/>
          <w:lang w:val="en-US" w:eastAsia="zh-CN"/>
        </w:rPr>
      </w:pPr>
      <w:r>
        <w:rPr>
          <w:rFonts w:hint="default" w:ascii="Times New Roman" w:hAnsi="Times New Roman" w:cs="Times New Roman"/>
          <w:b/>
          <w:bCs/>
          <w:color w:val="auto"/>
          <w:sz w:val="24"/>
          <w:szCs w:val="24"/>
          <w:highlight w:val="none"/>
          <w:lang w:val="en-US" w:eastAsia="zh-CN"/>
        </w:rPr>
        <w:t>表</w:t>
      </w:r>
      <w:r>
        <w:rPr>
          <w:rFonts w:hint="eastAsia" w:ascii="Times New Roman" w:hAnsi="Times New Roman" w:cs="Times New Roman"/>
          <w:b/>
          <w:bCs/>
          <w:color w:val="auto"/>
          <w:sz w:val="24"/>
          <w:szCs w:val="24"/>
          <w:highlight w:val="none"/>
          <w:lang w:val="en-US" w:eastAsia="zh-CN"/>
        </w:rPr>
        <w:t>3-</w:t>
      </w:r>
      <w:r>
        <w:rPr>
          <w:rFonts w:hint="default" w:ascii="Times New Roman" w:hAnsi="Times New Roman" w:cs="Times New Roman"/>
          <w:b/>
          <w:bCs/>
          <w:color w:val="auto"/>
          <w:sz w:val="24"/>
          <w:szCs w:val="24"/>
          <w:highlight w:val="none"/>
          <w:lang w:val="en-US" w:eastAsia="zh-CN"/>
        </w:rPr>
        <w:t xml:space="preserve">2 </w:t>
      </w:r>
      <w:r>
        <w:rPr>
          <w:rFonts w:hint="eastAsia" w:ascii="Times New Roman" w:hAnsi="Times New Roman" w:cs="Times New Roman"/>
          <w:b/>
          <w:bCs/>
          <w:color w:val="auto"/>
          <w:sz w:val="24"/>
          <w:szCs w:val="24"/>
          <w:highlight w:val="none"/>
          <w:lang w:val="en-US" w:eastAsia="zh-CN"/>
        </w:rPr>
        <w:t xml:space="preserve"> </w:t>
      </w:r>
      <w:r>
        <w:rPr>
          <w:rFonts w:hint="default" w:ascii="Times New Roman" w:hAnsi="Times New Roman" w:cs="Times New Roman"/>
          <w:b/>
          <w:bCs/>
          <w:color w:val="auto"/>
          <w:sz w:val="24"/>
          <w:szCs w:val="24"/>
          <w:highlight w:val="none"/>
          <w:lang w:val="en-US" w:eastAsia="zh-CN"/>
        </w:rPr>
        <w:t>主要设备一览表</w:t>
      </w:r>
    </w:p>
    <w:tbl>
      <w:tblPr>
        <w:tblStyle w:val="19"/>
        <w:tblW w:w="83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
        <w:gridCol w:w="1293"/>
        <w:gridCol w:w="1742"/>
        <w:gridCol w:w="3327"/>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序号</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设备性质</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项目</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规格型号</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生产设备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搪瓷反应釜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5000L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搪瓷反应釜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7个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5</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搅拌罐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辅料储存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5</w:t>
            </w:r>
            <w:r>
              <w:rPr>
                <w:rFonts w:hint="default"/>
                <w:bCs/>
                <w:sz w:val="24"/>
                <w:szCs w:val="24"/>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7</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成品储存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 xml:space="preserve">60000L </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8</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9</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原料</w:t>
            </w:r>
            <w:r>
              <w:rPr>
                <w:rFonts w:hint="default"/>
                <w:bCs/>
                <w:sz w:val="24"/>
                <w:szCs w:val="24"/>
              </w:rPr>
              <w:t>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11</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辅助设备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磅秤</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100t</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12</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冷却塔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直径2.6m×高3.3米</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13</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发电机</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100kW</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14</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齿轮泵</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防爆型</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8个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15</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16</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环保设备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碱性喷淋塔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直径2m×高4m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17</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水洗喷淋塔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直径2m×高4m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19</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冷凝器</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直径1m×高3.2m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20</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循环水池</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长6.5m×宽2.5m×深3.5m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2</w:t>
            </w:r>
            <w:r>
              <w:rPr>
                <w:rFonts w:hint="default"/>
                <w:bCs/>
                <w:sz w:val="24"/>
                <w:szCs w:val="24"/>
              </w:rPr>
              <w:t>1</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长10.5m×宽6m×深4.5m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bl>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3-3</w:t>
      </w:r>
      <w:r>
        <w:rPr>
          <w:rFonts w:hint="default" w:ascii="Times New Roman" w:hAnsi="Times New Roman" w:cs="Times New Roman"/>
          <w:b/>
          <w:bCs/>
          <w:color w:val="auto"/>
          <w:sz w:val="24"/>
          <w:szCs w:val="24"/>
          <w:lang w:val="en-US" w:eastAsia="zh-CN"/>
        </w:rPr>
        <w:t xml:space="preserve">  </w:t>
      </w:r>
      <w:r>
        <w:rPr>
          <w:rFonts w:hint="eastAsia" w:ascii="Times New Roman" w:hAnsi="Times New Roman" w:cs="Times New Roman"/>
          <w:b/>
          <w:bCs/>
          <w:color w:val="auto"/>
          <w:sz w:val="24"/>
          <w:szCs w:val="24"/>
          <w:lang w:val="en-US" w:eastAsia="zh-CN"/>
        </w:rPr>
        <w:t xml:space="preserve">  </w:t>
      </w:r>
      <w:r>
        <w:rPr>
          <w:rFonts w:hint="default" w:ascii="Times New Roman" w:hAnsi="Times New Roman" w:cs="Times New Roman"/>
          <w:b/>
          <w:bCs/>
          <w:color w:val="auto"/>
          <w:sz w:val="24"/>
          <w:szCs w:val="24"/>
          <w:lang w:val="en-US" w:eastAsia="zh-CN"/>
        </w:rPr>
        <w:t>原辅材料</w:t>
      </w:r>
      <w:r>
        <w:rPr>
          <w:rFonts w:hint="eastAsia" w:ascii="Times New Roman" w:hAnsi="Times New Roman" w:cs="Times New Roman"/>
          <w:b/>
          <w:bCs/>
          <w:color w:val="auto"/>
          <w:sz w:val="24"/>
          <w:szCs w:val="24"/>
          <w:lang w:val="en-US" w:eastAsia="zh-CN"/>
        </w:rPr>
        <w:t>及产品</w:t>
      </w:r>
      <w:r>
        <w:rPr>
          <w:rFonts w:hint="default" w:ascii="Times New Roman" w:hAnsi="Times New Roman" w:cs="Times New Roman"/>
          <w:b/>
          <w:bCs/>
          <w:color w:val="auto"/>
          <w:sz w:val="24"/>
          <w:szCs w:val="24"/>
          <w:lang w:val="en-US" w:eastAsia="zh-CN"/>
        </w:rPr>
        <w:t>一览表</w:t>
      </w:r>
    </w:p>
    <w:tbl>
      <w:tblPr>
        <w:tblStyle w:val="19"/>
        <w:tblW w:w="8527" w:type="dxa"/>
        <w:jc w:val="center"/>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85"/>
        <w:gridCol w:w="1454"/>
        <w:gridCol w:w="795"/>
        <w:gridCol w:w="1260"/>
        <w:gridCol w:w="1950"/>
        <w:gridCol w:w="1081"/>
        <w:gridCol w:w="120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tblHeader/>
          <w:jc w:val="center"/>
        </w:trPr>
        <w:tc>
          <w:tcPr>
            <w:tcW w:w="8527" w:type="dxa"/>
            <w:gridSpan w:val="7"/>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lang w:val="en-US" w:eastAsia="zh-CN"/>
              </w:rPr>
              <w:t>原辅料</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tblHeader/>
          <w:jc w:val="center"/>
        </w:trPr>
        <w:tc>
          <w:tcPr>
            <w:tcW w:w="78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序号</w:t>
            </w:r>
          </w:p>
        </w:tc>
        <w:tc>
          <w:tcPr>
            <w:tcW w:w="1454"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名称</w:t>
            </w:r>
          </w:p>
        </w:tc>
        <w:tc>
          <w:tcPr>
            <w:tcW w:w="79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状态</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包装形式</w:t>
            </w:r>
          </w:p>
        </w:tc>
        <w:tc>
          <w:tcPr>
            <w:tcW w:w="195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lang w:val="en-US" w:eastAsia="zh-CN"/>
              </w:rPr>
              <w:t>日常最大储存量（t）</w:t>
            </w:r>
          </w:p>
        </w:tc>
        <w:tc>
          <w:tcPr>
            <w:tcW w:w="1081"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年用量</w:t>
            </w:r>
            <w:r>
              <w:rPr>
                <w:rFonts w:hint="eastAsia"/>
                <w:bCs/>
                <w:sz w:val="24"/>
                <w:szCs w:val="24"/>
                <w:lang w:val="en-US" w:eastAsia="zh-CN"/>
              </w:rPr>
              <w:t>（t）</w:t>
            </w:r>
          </w:p>
        </w:tc>
        <w:tc>
          <w:tcPr>
            <w:tcW w:w="1202"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lang w:val="en-US" w:eastAsia="zh-CN"/>
              </w:rPr>
              <w:t>储存场所</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rPr>
              <w:t>1</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减水剂粉剂</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粉状</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袋装</w:t>
            </w:r>
          </w:p>
        </w:tc>
        <w:tc>
          <w:tcPr>
            <w:tcW w:w="195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30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120</w:t>
            </w:r>
          </w:p>
        </w:tc>
        <w:tc>
          <w:tcPr>
            <w:tcW w:w="1202" w:type="dxa"/>
            <w:vAlign w:val="top"/>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rPr>
              <w:t>2</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减水剂原液</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60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800</w:t>
            </w:r>
          </w:p>
        </w:tc>
        <w:tc>
          <w:tcPr>
            <w:tcW w:w="1202" w:type="dxa"/>
            <w:vAlign w:val="top"/>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default"/>
                <w:bCs/>
                <w:sz w:val="24"/>
                <w:szCs w:val="24"/>
              </w:rPr>
              <w:t>3</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葡萄糖酸钠</w:t>
            </w:r>
          </w:p>
        </w:tc>
        <w:tc>
          <w:tcPr>
            <w:tcW w:w="79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液体/粉状</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散装或袋装</w:t>
            </w:r>
          </w:p>
        </w:tc>
        <w:tc>
          <w:tcPr>
            <w:tcW w:w="195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30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202" w:type="dxa"/>
            <w:vAlign w:val="top"/>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4</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糖蜜</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30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202" w:type="dxa"/>
            <w:vAlign w:val="top"/>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柠檬酸钠</w:t>
            </w:r>
          </w:p>
        </w:tc>
        <w:tc>
          <w:tcPr>
            <w:tcW w:w="79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30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202" w:type="dxa"/>
            <w:vAlign w:val="top"/>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6</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亚硝酸钠</w:t>
            </w:r>
          </w:p>
        </w:tc>
        <w:tc>
          <w:tcPr>
            <w:tcW w:w="795"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粉状</w:t>
            </w:r>
          </w:p>
        </w:tc>
        <w:tc>
          <w:tcPr>
            <w:tcW w:w="1260"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袋装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10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25</w:t>
            </w:r>
          </w:p>
        </w:tc>
        <w:tc>
          <w:tcPr>
            <w:tcW w:w="1202"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7</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十二烷基硫酸钠</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粉状</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袋装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1</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w:t>
            </w:r>
          </w:p>
        </w:tc>
        <w:tc>
          <w:tcPr>
            <w:tcW w:w="1202" w:type="dxa"/>
            <w:vAlign w:val="center"/>
          </w:tcPr>
          <w:p>
            <w:pPr>
              <w:keepNext w:val="0"/>
              <w:keepLines w:val="0"/>
              <w:suppressLineNumbers w:val="0"/>
              <w:spacing w:before="0" w:beforeAutospacing="0" w:after="0" w:afterAutospacing="0"/>
              <w:ind w:left="-140" w:leftChars="-50" w:right="0"/>
              <w:jc w:val="center"/>
              <w:rPr>
                <w:rFonts w:hint="default"/>
                <w:bCs/>
                <w:sz w:val="24"/>
                <w:szCs w:val="24"/>
                <w:lang w:val="en-US" w:eastAsia="zh-CN"/>
              </w:rPr>
            </w:pPr>
            <w:r>
              <w:rPr>
                <w:rFonts w:hint="eastAsia"/>
                <w:bCs/>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8</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default"/>
                <w:bCs/>
                <w:sz w:val="24"/>
                <w:szCs w:val="24"/>
              </w:rPr>
              <w:t>纯碱</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粉状</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袋装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202"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val="en-US" w:eastAsia="zh-CN"/>
              </w:rPr>
              <w:t>9</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eastAsia="zh-CN"/>
              </w:rPr>
              <w:t>天然气</w:t>
            </w:r>
            <w:r>
              <w:rPr>
                <w:rFonts w:hint="eastAsia"/>
                <w:bCs/>
                <w:sz w:val="24"/>
                <w:szCs w:val="24"/>
                <w:lang w:val="en-US" w:eastAsia="zh-CN"/>
              </w:rPr>
              <w:t xml:space="preserve"> </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瓶装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0.8</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p>
        </w:tc>
        <w:tc>
          <w:tcPr>
            <w:tcW w:w="1202"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废气处理区以西，原料存放区以东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8527" w:type="dxa"/>
            <w:gridSpan w:val="7"/>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val="en-US" w:eastAsia="zh-CN"/>
              </w:rPr>
              <w:t>产品</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val="en-US" w:eastAsia="zh-CN"/>
              </w:rPr>
              <w:t>1</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eastAsia="zh-CN"/>
              </w:rPr>
            </w:pPr>
            <w:r>
              <w:rPr>
                <w:rFonts w:hint="eastAsia"/>
                <w:bCs/>
                <w:sz w:val="24"/>
                <w:szCs w:val="24"/>
                <w:lang w:eastAsia="zh-CN"/>
              </w:rPr>
              <w:t>泵送剂</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1000</w:t>
            </w:r>
          </w:p>
        </w:tc>
        <w:tc>
          <w:tcPr>
            <w:tcW w:w="1202"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成品存放区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val="en-US" w:eastAsia="zh-CN"/>
              </w:rPr>
              <w:t>2</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eastAsia="zh-CN"/>
              </w:rPr>
            </w:pPr>
            <w:r>
              <w:rPr>
                <w:rFonts w:hint="eastAsia"/>
                <w:bCs/>
                <w:sz w:val="24"/>
                <w:szCs w:val="24"/>
                <w:lang w:eastAsia="zh-CN"/>
              </w:rPr>
              <w:t>缓凝剂</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500</w:t>
            </w:r>
          </w:p>
        </w:tc>
        <w:tc>
          <w:tcPr>
            <w:tcW w:w="1202" w:type="dxa"/>
            <w:vAlign w:val="top"/>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成品存放区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lang w:val="en-US" w:eastAsia="zh-CN"/>
              </w:rPr>
              <w:t>3</w:t>
            </w:r>
          </w:p>
        </w:tc>
        <w:tc>
          <w:tcPr>
            <w:tcW w:w="1454"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eastAsia="zh-CN"/>
              </w:rPr>
            </w:pPr>
            <w:r>
              <w:rPr>
                <w:rFonts w:hint="eastAsia"/>
                <w:bCs/>
                <w:sz w:val="24"/>
                <w:szCs w:val="24"/>
                <w:lang w:eastAsia="zh-CN"/>
              </w:rPr>
              <w:t>防冻剂</w:t>
            </w:r>
          </w:p>
        </w:tc>
        <w:tc>
          <w:tcPr>
            <w:tcW w:w="795"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液体</w:t>
            </w:r>
          </w:p>
        </w:tc>
        <w:tc>
          <w:tcPr>
            <w:tcW w:w="126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散装</w:t>
            </w:r>
          </w:p>
        </w:tc>
        <w:tc>
          <w:tcPr>
            <w:tcW w:w="1950"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w:t>
            </w:r>
          </w:p>
        </w:tc>
        <w:tc>
          <w:tcPr>
            <w:tcW w:w="1081" w:type="dxa"/>
            <w:vAlign w:val="center"/>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500</w:t>
            </w:r>
          </w:p>
        </w:tc>
        <w:tc>
          <w:tcPr>
            <w:tcW w:w="1202" w:type="dxa"/>
            <w:vAlign w:val="top"/>
          </w:tcPr>
          <w:p>
            <w:pPr>
              <w:keepNext w:val="0"/>
              <w:keepLines w:val="0"/>
              <w:suppressLineNumbers w:val="0"/>
              <w:spacing w:before="0" w:beforeAutospacing="0" w:after="0" w:afterAutospacing="0"/>
              <w:ind w:left="-140" w:leftChars="-50" w:right="0"/>
              <w:jc w:val="center"/>
              <w:rPr>
                <w:rFonts w:hint="eastAsia"/>
                <w:bCs/>
                <w:sz w:val="24"/>
                <w:szCs w:val="24"/>
                <w:lang w:val="en-US" w:eastAsia="zh-CN"/>
              </w:rPr>
            </w:pPr>
            <w:r>
              <w:rPr>
                <w:rFonts w:hint="eastAsia"/>
                <w:bCs/>
                <w:sz w:val="24"/>
                <w:szCs w:val="24"/>
              </w:rPr>
              <w:t>成品存放区</w:t>
            </w:r>
          </w:p>
        </w:tc>
      </w:tr>
    </w:tbl>
    <w:p>
      <w:pPr>
        <w:pStyle w:val="4"/>
        <w:suppressLineNumbers w:val="0"/>
        <w:autoSpaceDE/>
        <w:autoSpaceDN/>
        <w:spacing w:before="0" w:beforeLines="0" w:after="0" w:afterLines="0"/>
        <w:ind w:left="0" w:right="0"/>
        <w:jc w:val="both"/>
        <w:rPr>
          <w:rFonts w:hint="eastAsia" w:ascii="Times New Roman" w:hAnsi="Times New Roman" w:eastAsia="仿宋" w:cs="Times New Roman"/>
          <w:bCs w:val="0"/>
          <w:color w:val="auto"/>
          <w:kern w:val="2"/>
          <w:sz w:val="28"/>
          <w:szCs w:val="24"/>
          <w:lang w:val="en-US" w:eastAsia="zh-CN" w:bidi="ar-SA"/>
        </w:rPr>
      </w:pPr>
      <w:r>
        <w:rPr>
          <w:rFonts w:hint="eastAsia" w:ascii="Times New Roman" w:hAnsi="Times New Roman" w:cs="Times New Roman"/>
          <w:b/>
          <w:bCs/>
          <w:color w:val="auto"/>
          <w:sz w:val="24"/>
          <w:szCs w:val="24"/>
          <w:lang w:val="en-US" w:eastAsia="zh-CN"/>
        </w:rPr>
        <w:t xml:space="preserve"> </w:t>
      </w:r>
      <w:bookmarkStart w:id="148" w:name="_Toc21466"/>
      <w:r>
        <w:rPr>
          <w:rFonts w:hint="default" w:ascii="Times New Roman" w:hAnsi="Times New Roman" w:eastAsia="仿宋" w:cs="Times New Roman"/>
          <w:bCs w:val="0"/>
          <w:color w:val="auto"/>
          <w:kern w:val="2"/>
          <w:sz w:val="28"/>
          <w:szCs w:val="24"/>
          <w:lang w:val="en-US" w:eastAsia="zh-CN" w:bidi="ar-SA"/>
        </w:rPr>
        <w:t>3.</w:t>
      </w:r>
      <w:r>
        <w:rPr>
          <w:rFonts w:hint="eastAsia" w:ascii="Times New Roman" w:hAnsi="Times New Roman" w:cs="Times New Roman"/>
          <w:bCs w:val="0"/>
          <w:color w:val="auto"/>
          <w:kern w:val="2"/>
          <w:sz w:val="28"/>
          <w:szCs w:val="24"/>
          <w:lang w:val="en-US" w:eastAsia="zh-CN" w:bidi="ar-SA"/>
        </w:rPr>
        <w:t>3</w:t>
      </w:r>
      <w:r>
        <w:rPr>
          <w:rFonts w:hint="default" w:ascii="Times New Roman" w:hAnsi="Times New Roman" w:eastAsia="仿宋" w:cs="Times New Roman"/>
          <w:bCs w:val="0"/>
          <w:color w:val="auto"/>
          <w:kern w:val="2"/>
          <w:sz w:val="28"/>
          <w:szCs w:val="24"/>
          <w:lang w:val="en-US" w:eastAsia="zh-CN" w:bidi="ar-SA"/>
        </w:rPr>
        <w:t>.</w:t>
      </w:r>
      <w:r>
        <w:rPr>
          <w:rFonts w:hint="eastAsia" w:ascii="Times New Roman" w:hAnsi="Times New Roman" w:cs="Times New Roman"/>
          <w:bCs w:val="0"/>
          <w:color w:val="auto"/>
          <w:kern w:val="2"/>
          <w:sz w:val="28"/>
          <w:szCs w:val="24"/>
          <w:lang w:val="en-US" w:eastAsia="zh-CN" w:bidi="ar-SA"/>
        </w:rPr>
        <w:t xml:space="preserve">3 </w:t>
      </w:r>
      <w:r>
        <w:rPr>
          <w:rFonts w:hint="default" w:ascii="Times New Roman" w:hAnsi="Times New Roman" w:eastAsia="仿宋" w:cs="Times New Roman"/>
          <w:bCs w:val="0"/>
          <w:color w:val="auto"/>
          <w:kern w:val="2"/>
          <w:sz w:val="28"/>
          <w:szCs w:val="24"/>
          <w:lang w:val="en-US" w:eastAsia="zh-CN" w:bidi="ar-SA"/>
        </w:rPr>
        <w:t>主要</w:t>
      </w:r>
      <w:r>
        <w:rPr>
          <w:rFonts w:hint="eastAsia" w:ascii="Times New Roman" w:hAnsi="Times New Roman" w:eastAsia="仿宋" w:cs="Times New Roman"/>
          <w:bCs w:val="0"/>
          <w:color w:val="auto"/>
          <w:kern w:val="2"/>
          <w:sz w:val="28"/>
          <w:szCs w:val="24"/>
          <w:lang w:val="en-US" w:eastAsia="zh-CN" w:bidi="ar-SA"/>
        </w:rPr>
        <w:t>建筑物</w:t>
      </w:r>
      <w:bookmarkEnd w:id="148"/>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仿宋" w:cs="Times New Roman"/>
          <w:b/>
          <w:bCs/>
          <w:color w:val="auto"/>
          <w:sz w:val="24"/>
          <w:szCs w:val="24"/>
          <w:highlight w:val="none"/>
          <w:lang w:val="en-US" w:eastAsia="zh-CN"/>
        </w:rPr>
      </w:pPr>
      <w:r>
        <w:rPr>
          <w:rFonts w:hint="default" w:ascii="Times New Roman" w:hAnsi="Times New Roman" w:eastAsia="仿宋" w:cs="Times New Roman"/>
          <w:b/>
          <w:bCs/>
          <w:color w:val="auto"/>
          <w:sz w:val="24"/>
          <w:szCs w:val="24"/>
          <w:highlight w:val="none"/>
          <w:lang w:val="en-US" w:eastAsia="zh-CN"/>
        </w:rPr>
        <w:t>表</w:t>
      </w:r>
      <w:r>
        <w:rPr>
          <w:rFonts w:hint="eastAsia" w:ascii="Times New Roman" w:hAnsi="Times New Roman" w:cs="Times New Roman"/>
          <w:b/>
          <w:bCs/>
          <w:color w:val="auto"/>
          <w:sz w:val="24"/>
          <w:szCs w:val="24"/>
          <w:lang w:val="en-US" w:eastAsia="zh-CN"/>
        </w:rPr>
        <w:t>3-</w:t>
      </w:r>
      <w:r>
        <w:rPr>
          <w:rFonts w:hint="eastAsia" w:ascii="Times New Roman" w:hAnsi="Times New Roman" w:cs="Times New Roman"/>
          <w:b/>
          <w:bCs/>
          <w:color w:val="auto"/>
          <w:sz w:val="24"/>
          <w:szCs w:val="24"/>
          <w:highlight w:val="none"/>
          <w:lang w:val="en-US" w:eastAsia="zh-CN"/>
        </w:rPr>
        <w:t>4</w:t>
      </w:r>
      <w:r>
        <w:rPr>
          <w:rFonts w:hint="default" w:ascii="Times New Roman" w:hAnsi="Times New Roman" w:eastAsia="仿宋" w:cs="Times New Roman"/>
          <w:b/>
          <w:bCs/>
          <w:color w:val="auto"/>
          <w:sz w:val="24"/>
          <w:szCs w:val="24"/>
          <w:highlight w:val="none"/>
          <w:lang w:val="en-US" w:eastAsia="zh-CN"/>
        </w:rPr>
        <w:t xml:space="preserve"> </w:t>
      </w:r>
      <w:r>
        <w:rPr>
          <w:rFonts w:hint="eastAsia" w:ascii="Times New Roman" w:hAnsi="Times New Roman" w:cs="Times New Roman"/>
          <w:b/>
          <w:bCs/>
          <w:color w:val="auto"/>
          <w:sz w:val="24"/>
          <w:szCs w:val="24"/>
          <w:highlight w:val="none"/>
          <w:lang w:val="en-US" w:eastAsia="zh-CN"/>
        </w:rPr>
        <w:t xml:space="preserve"> </w:t>
      </w:r>
      <w:r>
        <w:rPr>
          <w:rFonts w:hint="default" w:ascii="Times New Roman" w:hAnsi="Times New Roman" w:eastAsia="仿宋" w:cs="Times New Roman"/>
          <w:b/>
          <w:bCs/>
          <w:color w:val="auto"/>
          <w:sz w:val="24"/>
          <w:szCs w:val="24"/>
          <w:highlight w:val="none"/>
          <w:lang w:val="en-US" w:eastAsia="zh-CN"/>
        </w:rPr>
        <w:t>主要</w:t>
      </w:r>
      <w:r>
        <w:rPr>
          <w:rFonts w:hint="eastAsia" w:ascii="Times New Roman" w:hAnsi="Times New Roman" w:cs="Times New Roman"/>
          <w:b/>
          <w:bCs/>
          <w:color w:val="auto"/>
          <w:sz w:val="24"/>
          <w:szCs w:val="24"/>
          <w:highlight w:val="none"/>
          <w:lang w:val="en-US" w:eastAsia="zh-CN"/>
        </w:rPr>
        <w:t>建筑物一览</w:t>
      </w:r>
      <w:r>
        <w:rPr>
          <w:rFonts w:hint="default" w:ascii="Times New Roman" w:hAnsi="Times New Roman" w:eastAsia="仿宋" w:cs="Times New Roman"/>
          <w:b/>
          <w:bCs/>
          <w:color w:val="auto"/>
          <w:sz w:val="24"/>
          <w:szCs w:val="24"/>
          <w:highlight w:val="none"/>
          <w:lang w:val="en-US" w:eastAsia="zh-CN"/>
        </w:rPr>
        <w:t>表</w:t>
      </w:r>
    </w:p>
    <w:tbl>
      <w:tblPr>
        <w:tblStyle w:val="19"/>
        <w:tblW w:w="79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2"/>
        <w:gridCol w:w="1260"/>
        <w:gridCol w:w="5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8" w:hRule="atLeast"/>
          <w:jc w:val="center"/>
        </w:trPr>
        <w:tc>
          <w:tcPr>
            <w:tcW w:w="74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分类</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项目名称</w:t>
            </w:r>
          </w:p>
        </w:tc>
        <w:tc>
          <w:tcPr>
            <w:tcW w:w="5962" w:type="dxa"/>
            <w:noWrap w:val="0"/>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建设内容及规模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主体工程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生产车间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内有反应釜、计量罐、搅拌罐、发电机等设备。建筑面积为435m</w:t>
            </w:r>
            <w:r>
              <w:rPr>
                <w:rFonts w:hint="default"/>
                <w:sz w:val="24"/>
                <w:szCs w:val="24"/>
                <w:vertAlign w:val="superscript"/>
              </w:rPr>
              <w:t>2</w:t>
            </w:r>
            <w:r>
              <w:rPr>
                <w:rFonts w:hint="default"/>
                <w:sz w:val="24"/>
                <w:szCs w:val="24"/>
              </w:rPr>
              <w:t>，1F，屋高8.5m，砖结构，彩钢屋顶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锅炉房</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内有1台3t/h</w:t>
            </w:r>
            <w:r>
              <w:rPr>
                <w:rFonts w:hint="eastAsia"/>
                <w:sz w:val="24"/>
                <w:szCs w:val="24"/>
              </w:rPr>
              <w:t>燃气</w:t>
            </w:r>
            <w:r>
              <w:rPr>
                <w:rFonts w:hint="default"/>
                <w:sz w:val="24"/>
                <w:szCs w:val="24"/>
              </w:rPr>
              <w:t>锅炉，建筑面积为84.5㎡，1F，屋高4.5m，砖结构，彩钢屋顶。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试验室</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2间房屋，建筑面积各20m³，1F，屋高3m。砖结构、预制板屋顶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公用工程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厂区自备井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供电</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由市政电网供给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排水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项目设有循环水池，生产过程中的冷凝水和废气洗涤水全部</w:t>
            </w:r>
            <w:r>
              <w:rPr>
                <w:rFonts w:hint="eastAsia"/>
                <w:sz w:val="24"/>
                <w:szCs w:val="24"/>
              </w:rPr>
              <w:t>回收生产</w:t>
            </w:r>
            <w:r>
              <w:rPr>
                <w:rFonts w:hint="default"/>
                <w:sz w:val="24"/>
                <w:szCs w:val="24"/>
              </w:rPr>
              <w:t>，不外排；项目不设办公楼、食堂、宿舍和</w:t>
            </w:r>
            <w:r>
              <w:rPr>
                <w:rFonts w:hint="eastAsia"/>
                <w:sz w:val="24"/>
                <w:szCs w:val="24"/>
              </w:rPr>
              <w:t>厕所</w:t>
            </w:r>
            <w:r>
              <w:rPr>
                <w:rFonts w:hint="default"/>
                <w:sz w:val="24"/>
                <w:szCs w:val="24"/>
              </w:rPr>
              <w:t xml:space="preserve">等，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供热/制冷</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项目建有一台</w:t>
            </w:r>
            <w:r>
              <w:rPr>
                <w:rFonts w:hint="eastAsia"/>
                <w:sz w:val="24"/>
                <w:szCs w:val="24"/>
              </w:rPr>
              <w:t>燃气锅</w:t>
            </w:r>
            <w:r>
              <w:rPr>
                <w:rFonts w:hint="default"/>
                <w:sz w:val="24"/>
                <w:szCs w:val="24"/>
              </w:rPr>
              <w:t>炉，用于生产过程中的加热环节；员工取暖和制冷来自家用电热炉/风扇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2"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辅助工程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门卫/磅房</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建筑面积为8.75m</w:t>
            </w:r>
            <w:r>
              <w:rPr>
                <w:rFonts w:hint="default"/>
                <w:sz w:val="24"/>
                <w:szCs w:val="24"/>
                <w:vertAlign w:val="superscript"/>
              </w:rPr>
              <w:t>2</w:t>
            </w:r>
            <w:r>
              <w:rPr>
                <w:rFonts w:hint="default"/>
                <w:sz w:val="24"/>
                <w:szCs w:val="24"/>
              </w:rPr>
              <w:t>，1F，屋高2m，砖结构彩钢屋顶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磅秤</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最大</w:t>
            </w:r>
            <w:r>
              <w:rPr>
                <w:rFonts w:hint="eastAsia"/>
                <w:sz w:val="24"/>
                <w:szCs w:val="24"/>
              </w:rPr>
              <w:t xml:space="preserve">  </w:t>
            </w:r>
            <w:r>
              <w:rPr>
                <w:rFonts w:hint="default"/>
                <w:sz w:val="24"/>
                <w:szCs w:val="24"/>
              </w:rPr>
              <w:t>承重100t，占地面积为100m</w:t>
            </w:r>
            <w:r>
              <w:rPr>
                <w:rFonts w:hint="default"/>
                <w:sz w:val="24"/>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冷却塔</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2个YKNL-80圆形逆流式玻璃钢冷却塔，直径2.6米，高3.3米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储运工程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原辅料区</w:t>
            </w:r>
          </w:p>
        </w:tc>
        <w:tc>
          <w:tcPr>
            <w:tcW w:w="5962" w:type="dxa"/>
            <w:noWrap w:val="0"/>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液态原料</w:t>
            </w:r>
            <w:r>
              <w:rPr>
                <w:rFonts w:hint="default"/>
                <w:sz w:val="24"/>
                <w:szCs w:val="24"/>
              </w:rPr>
              <w:t>共</w:t>
            </w:r>
            <w:r>
              <w:rPr>
                <w:rFonts w:hint="eastAsia"/>
                <w:sz w:val="24"/>
                <w:szCs w:val="24"/>
              </w:rPr>
              <w:t>配备</w:t>
            </w:r>
            <w:r>
              <w:rPr>
                <w:rFonts w:hint="default"/>
                <w:sz w:val="24"/>
                <w:szCs w:val="24"/>
              </w:rPr>
              <w:t>有7个储存罐。其中2个</w:t>
            </w:r>
            <w:r>
              <w:rPr>
                <w:rFonts w:hint="eastAsia"/>
                <w:sz w:val="24"/>
                <w:szCs w:val="24"/>
              </w:rPr>
              <w:t>6</w:t>
            </w:r>
            <w:r>
              <w:rPr>
                <w:rFonts w:hint="default"/>
                <w:sz w:val="24"/>
                <w:szCs w:val="24"/>
              </w:rPr>
              <w:t>0</w:t>
            </w:r>
            <w:r>
              <w:rPr>
                <w:rFonts w:hint="eastAsia"/>
                <w:sz w:val="24"/>
                <w:szCs w:val="24"/>
              </w:rPr>
              <w:t>m³</w:t>
            </w:r>
            <w:r>
              <w:rPr>
                <w:rFonts w:hint="default"/>
                <w:sz w:val="24"/>
                <w:szCs w:val="24"/>
              </w:rPr>
              <w:t>储存罐在库房里</w:t>
            </w:r>
            <w:r>
              <w:rPr>
                <w:rFonts w:hint="eastAsia"/>
                <w:sz w:val="24"/>
                <w:szCs w:val="24"/>
              </w:rPr>
              <w:t>；</w:t>
            </w:r>
            <w:r>
              <w:rPr>
                <w:rFonts w:hint="default"/>
                <w:sz w:val="24"/>
                <w:szCs w:val="24"/>
              </w:rPr>
              <w:t>其余</w:t>
            </w:r>
            <w:r>
              <w:rPr>
                <w:rFonts w:hint="eastAsia"/>
                <w:sz w:val="24"/>
                <w:szCs w:val="24"/>
              </w:rPr>
              <w:t>5个6</w:t>
            </w:r>
            <w:r>
              <w:rPr>
                <w:rFonts w:hint="default"/>
                <w:sz w:val="24"/>
                <w:szCs w:val="24"/>
              </w:rPr>
              <w:t>0</w:t>
            </w:r>
            <w:r>
              <w:rPr>
                <w:rFonts w:hint="eastAsia"/>
                <w:sz w:val="24"/>
                <w:szCs w:val="24"/>
              </w:rPr>
              <w:t>m³储存</w:t>
            </w:r>
            <w:r>
              <w:rPr>
                <w:rFonts w:hint="default"/>
                <w:sz w:val="24"/>
                <w:szCs w:val="24"/>
              </w:rPr>
              <w:t>罐为地埋储罐</w:t>
            </w:r>
            <w:r>
              <w:rPr>
                <w:rFonts w:hint="eastAsia"/>
                <w:sz w:val="24"/>
                <w:szCs w:val="24"/>
              </w:rPr>
              <w:t>，位于厂区北侧；固态原料采用袋装储存，位于生产车间。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eastAsia"/>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成品区</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3个60m³储存罐,1个10t储存罐、1个10t计量罐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eastAsia"/>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运输</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项目原辅料和产品的运输均由自有车辆运输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环保工程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废气</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项目生产过程中投料搅拌和加热时产生的废气通过管道收集依次经过2个冷凝器、2层碱性喷淋塔和3层水洗喷淋塔处理后由1根15m高的排气筒排出。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循环水池（2个）</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容积为56.9m³，长宽高分别6.5米、2.5米和3.5米。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容积为283.5 m3。长宽高分别10.5米、6米、4.5米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固体废弃物</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项目固废废物主要包括生活垃圾、一般固废和危险废物。</w:t>
            </w:r>
            <w:r>
              <w:rPr>
                <w:rFonts w:hint="default"/>
                <w:sz w:val="24"/>
                <w:szCs w:val="24"/>
              </w:rPr>
              <w:t>生活垃圾</w:t>
            </w:r>
            <w:r>
              <w:rPr>
                <w:rFonts w:hint="eastAsia"/>
                <w:sz w:val="24"/>
                <w:szCs w:val="24"/>
              </w:rPr>
              <w:t>通过</w:t>
            </w:r>
            <w:r>
              <w:rPr>
                <w:rFonts w:hint="default"/>
                <w:sz w:val="24"/>
                <w:szCs w:val="24"/>
              </w:rPr>
              <w:t>垃圾桶定点收集后由环卫部门统一处理；</w:t>
            </w:r>
            <w:r>
              <w:rPr>
                <w:rFonts w:hint="eastAsia"/>
                <w:sz w:val="24"/>
                <w:szCs w:val="24"/>
              </w:rPr>
              <w:t>一般固废主要为固态原辅料的</w:t>
            </w:r>
            <w:r>
              <w:rPr>
                <w:rFonts w:hint="default"/>
                <w:sz w:val="24"/>
                <w:szCs w:val="24"/>
              </w:rPr>
              <w:t>废包装袋，</w:t>
            </w:r>
            <w:r>
              <w:rPr>
                <w:rFonts w:hint="eastAsia"/>
                <w:sz w:val="24"/>
                <w:szCs w:val="24"/>
              </w:rPr>
              <w:t>统一收集后出售</w:t>
            </w:r>
            <w:r>
              <w:rPr>
                <w:rFonts w:hint="default"/>
                <w:sz w:val="24"/>
                <w:szCs w:val="24"/>
              </w:rPr>
              <w:t>；</w:t>
            </w:r>
            <w:r>
              <w:rPr>
                <w:rFonts w:hint="eastAsia"/>
                <w:sz w:val="24"/>
                <w:szCs w:val="24"/>
              </w:rPr>
              <w:t>危险废物主要为废机油，</w:t>
            </w:r>
            <w:r>
              <w:rPr>
                <w:rFonts w:hint="default"/>
                <w:sz w:val="24"/>
                <w:szCs w:val="24"/>
              </w:rPr>
              <w:t>设有</w:t>
            </w:r>
            <w:r>
              <w:rPr>
                <w:rFonts w:hint="eastAsia"/>
                <w:sz w:val="24"/>
                <w:szCs w:val="24"/>
              </w:rPr>
              <w:t>危险</w:t>
            </w:r>
            <w:r>
              <w:rPr>
                <w:rFonts w:hint="default"/>
                <w:sz w:val="24"/>
                <w:szCs w:val="24"/>
              </w:rPr>
              <w:t>废</w:t>
            </w:r>
            <w:r>
              <w:rPr>
                <w:rFonts w:hint="eastAsia"/>
                <w:sz w:val="24"/>
                <w:szCs w:val="24"/>
              </w:rPr>
              <w:t>物</w:t>
            </w:r>
            <w:r>
              <w:rPr>
                <w:rFonts w:hint="default"/>
                <w:sz w:val="24"/>
                <w:szCs w:val="24"/>
              </w:rPr>
              <w:t>暂存间1个，建筑面积10㎡。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噪声</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密闭生产、隔声减振、绿化降噪等措施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 xml:space="preserve"> 绿化</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540 m</w:t>
            </w:r>
            <w:r>
              <w:rPr>
                <w:rFonts w:hint="default"/>
                <w:sz w:val="24"/>
                <w:szCs w:val="24"/>
                <w:vertAlign w:val="superscript"/>
              </w:rPr>
              <w:t>2</w:t>
            </w:r>
          </w:p>
        </w:tc>
      </w:tr>
    </w:tbl>
    <w:p>
      <w:pPr>
        <w:pStyle w:val="4"/>
        <w:suppressLineNumbers w:val="0"/>
        <w:autoSpaceDE/>
        <w:autoSpaceDN/>
        <w:spacing w:before="0" w:beforeLines="0" w:after="0" w:afterLines="0"/>
        <w:ind w:left="0" w:right="0"/>
        <w:jc w:val="both"/>
        <w:rPr>
          <w:rFonts w:hint="eastAsia" w:ascii="Times New Roman" w:hAnsi="Times New Roman" w:eastAsia="仿宋" w:cs="Times New Roman"/>
          <w:bCs w:val="0"/>
          <w:color w:val="auto"/>
          <w:kern w:val="2"/>
          <w:sz w:val="28"/>
          <w:szCs w:val="24"/>
          <w:lang w:val="en-US" w:eastAsia="zh-CN" w:bidi="ar-SA"/>
        </w:rPr>
      </w:pPr>
      <w:bookmarkStart w:id="149" w:name="_Toc593"/>
      <w:r>
        <w:rPr>
          <w:rFonts w:hint="eastAsia" w:ascii="Times New Roman" w:hAnsi="Times New Roman" w:eastAsia="仿宋" w:cs="Times New Roman"/>
          <w:bCs w:val="0"/>
          <w:color w:val="auto"/>
          <w:kern w:val="2"/>
          <w:sz w:val="28"/>
          <w:szCs w:val="24"/>
          <w:lang w:val="en-US" w:eastAsia="zh-CN" w:bidi="ar-SA"/>
        </w:rPr>
        <w:t>3.3.</w:t>
      </w:r>
      <w:r>
        <w:rPr>
          <w:rFonts w:hint="eastAsia" w:ascii="Times New Roman" w:hAnsi="Times New Roman" w:cs="Times New Roman"/>
          <w:bCs w:val="0"/>
          <w:color w:val="auto"/>
          <w:kern w:val="2"/>
          <w:sz w:val="28"/>
          <w:szCs w:val="24"/>
          <w:lang w:val="en-US" w:eastAsia="zh-CN" w:bidi="ar-SA"/>
        </w:rPr>
        <w:t>4</w:t>
      </w:r>
      <w:r>
        <w:rPr>
          <w:rFonts w:hint="eastAsia"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环保</w:t>
      </w:r>
      <w:r>
        <w:rPr>
          <w:rFonts w:hint="eastAsia" w:ascii="Times New Roman" w:hAnsi="Times New Roman" w:eastAsia="仿宋" w:cs="Times New Roman"/>
          <w:bCs w:val="0"/>
          <w:color w:val="auto"/>
          <w:kern w:val="2"/>
          <w:sz w:val="28"/>
          <w:szCs w:val="24"/>
          <w:lang w:val="en-US" w:eastAsia="zh-CN" w:bidi="ar-SA"/>
        </w:rPr>
        <w:t>措施</w:t>
      </w:r>
      <w:bookmarkEnd w:id="149"/>
    </w:p>
    <w:p>
      <w:pPr>
        <w:jc w:val="center"/>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3-</w:t>
      </w:r>
      <w:r>
        <w:rPr>
          <w:rFonts w:hint="eastAsia" w:ascii="Times New Roman" w:hAnsi="Times New Roman" w:eastAsia="仿宋" w:cs="Times New Roman"/>
          <w:b/>
          <w:bCs/>
          <w:color w:val="auto"/>
          <w:sz w:val="24"/>
          <w:szCs w:val="24"/>
          <w:lang w:val="en-US" w:eastAsia="zh-CN"/>
        </w:rPr>
        <w:t>5</w:t>
      </w:r>
      <w:r>
        <w:rPr>
          <w:rFonts w:hint="eastAsia" w:ascii="Times New Roman" w:hAnsi="Times New Roman" w:cs="Times New Roman"/>
          <w:b/>
          <w:bCs/>
          <w:color w:val="auto"/>
          <w:sz w:val="24"/>
          <w:szCs w:val="24"/>
          <w:lang w:val="en-US" w:eastAsia="zh-CN"/>
        </w:rPr>
        <w:t xml:space="preserve"> </w:t>
      </w:r>
      <w:r>
        <w:rPr>
          <w:rFonts w:hint="default" w:ascii="Times New Roman" w:hAnsi="Times New Roman" w:eastAsia="仿宋" w:cs="Times New Roman"/>
          <w:b/>
          <w:bCs/>
          <w:color w:val="auto"/>
          <w:sz w:val="24"/>
          <w:szCs w:val="24"/>
          <w:lang w:val="en-US" w:eastAsia="zh-CN"/>
        </w:rPr>
        <w:t xml:space="preserve"> 环保措施汇总表</w:t>
      </w:r>
    </w:p>
    <w:tbl>
      <w:tblPr>
        <w:tblStyle w:val="19"/>
        <w:tblW w:w="8522" w:type="dxa"/>
        <w:jc w:val="center"/>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69"/>
        <w:gridCol w:w="1667"/>
        <w:gridCol w:w="1665"/>
        <w:gridCol w:w="4321"/>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top w:val="single" w:color="auto" w:sz="12" w:space="0"/>
              <w:left w:val="single" w:color="auto" w:sz="12"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类别</w:t>
            </w:r>
          </w:p>
        </w:tc>
        <w:tc>
          <w:tcPr>
            <w:tcW w:w="1667" w:type="dxa"/>
            <w:tcBorders>
              <w:top w:val="single" w:color="auto" w:sz="12"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排放源</w:t>
            </w:r>
          </w:p>
        </w:tc>
        <w:tc>
          <w:tcPr>
            <w:tcW w:w="1665" w:type="dxa"/>
            <w:tcBorders>
              <w:top w:val="single" w:color="auto" w:sz="12"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污染物名称</w:t>
            </w:r>
          </w:p>
        </w:tc>
        <w:tc>
          <w:tcPr>
            <w:tcW w:w="4321" w:type="dxa"/>
            <w:tcBorders>
              <w:top w:val="single" w:color="auto" w:sz="12"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采取的环保设施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944" w:hRule="atLeast"/>
          <w:jc w:val="center"/>
        </w:trPr>
        <w:tc>
          <w:tcPr>
            <w:tcW w:w="869" w:type="dxa"/>
            <w:vMerge w:val="restart"/>
            <w:tcBorders>
              <w:top w:val="single" w:color="auto" w:sz="4" w:space="0"/>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废气</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sz w:val="24"/>
                <w:szCs w:val="24"/>
                <w:lang w:val="en-US" w:eastAsia="zh-CN"/>
              </w:rPr>
            </w:pPr>
            <w:r>
              <w:rPr>
                <w:rFonts w:hint="eastAsia" w:ascii="仿宋" w:hAnsi="仿宋" w:cs="仿宋"/>
                <w:color w:val="auto"/>
                <w:sz w:val="24"/>
                <w:szCs w:val="24"/>
                <w:lang w:val="en-US" w:eastAsia="zh-CN"/>
              </w:rPr>
              <w:t>搅拌</w:t>
            </w:r>
          </w:p>
        </w:tc>
        <w:tc>
          <w:tcPr>
            <w:tcW w:w="1665" w:type="dxa"/>
            <w:vMerge w:val="restart"/>
            <w:tcBorders>
              <w:top w:val="single" w:color="auto" w:sz="4" w:space="0"/>
              <w:left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color w:val="auto"/>
                <w:sz w:val="24"/>
                <w:szCs w:val="24"/>
                <w:lang w:val="en-US" w:eastAsia="zh-CN"/>
              </w:rPr>
              <w:t>甲醛、粉尘、锅炉燃烧废气</w:t>
            </w:r>
          </w:p>
        </w:tc>
        <w:tc>
          <w:tcPr>
            <w:tcW w:w="4321" w:type="dxa"/>
            <w:vMerge w:val="restart"/>
            <w:tcBorders>
              <w:top w:val="single" w:color="auto" w:sz="4" w:space="0"/>
              <w:left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投料搅拌和加热时产生的废气通过管道收集依次经过2个冷凝器、2层碱性喷淋塔和3层水洗喷淋塔处理后由1根15m高的排气筒排出。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sz w:val="24"/>
                <w:szCs w:val="24"/>
                <w:lang w:val="en-US" w:eastAsia="zh-CN"/>
              </w:rPr>
            </w:pPr>
            <w:r>
              <w:rPr>
                <w:rFonts w:hint="eastAsia" w:ascii="仿宋" w:hAnsi="仿宋" w:cs="仿宋"/>
                <w:color w:val="auto"/>
                <w:sz w:val="24"/>
                <w:szCs w:val="24"/>
                <w:lang w:val="en-US" w:eastAsia="zh-CN"/>
              </w:rPr>
              <w:t>加热</w:t>
            </w:r>
          </w:p>
        </w:tc>
        <w:tc>
          <w:tcPr>
            <w:tcW w:w="1665" w:type="dxa"/>
            <w:vMerge w:val="continue"/>
            <w:tcBorders>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4321" w:type="dxa"/>
            <w:vMerge w:val="continue"/>
            <w:tcBorders>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left w:val="single" w:color="auto" w:sz="12"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废水</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生产废水</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COD、BOD</w:t>
            </w:r>
            <w:r>
              <w:rPr>
                <w:rFonts w:hint="default" w:ascii="仿宋" w:hAnsi="仿宋" w:eastAsia="仿宋" w:cs="仿宋"/>
                <w:sz w:val="24"/>
                <w:szCs w:val="24"/>
                <w:vertAlign w:val="subscript"/>
                <w:lang w:val="en-US" w:eastAsia="zh-CN"/>
              </w:rPr>
              <w:t>5</w:t>
            </w:r>
            <w:r>
              <w:rPr>
                <w:rFonts w:hint="default" w:ascii="仿宋" w:hAnsi="仿宋" w:eastAsia="仿宋" w:cs="仿宋"/>
                <w:sz w:val="24"/>
                <w:szCs w:val="24"/>
                <w:lang w:val="en-US" w:eastAsia="zh-CN"/>
              </w:rPr>
              <w:t>、SS、</w:t>
            </w:r>
            <w:r>
              <w:rPr>
                <w:rFonts w:hint="eastAsia" w:ascii="仿宋" w:hAnsi="仿宋" w:cs="仿宋"/>
                <w:sz w:val="24"/>
                <w:szCs w:val="24"/>
                <w:lang w:val="en-US" w:eastAsia="zh-CN"/>
              </w:rPr>
              <w:t>色度、pH</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冷却循环水包括蒸汽冷却水和废气冷凝水，均由循环水池回收做为溶剂用水使用；该项目喷淋塔每天均补充新鲜水，当日的洗涤废水由第二天生产时打入</w:t>
            </w:r>
            <w:r>
              <w:rPr>
                <w:rFonts w:hint="default" w:ascii="仿宋" w:hAnsi="仿宋" w:eastAsia="仿宋" w:cs="仿宋"/>
                <w:sz w:val="24"/>
                <w:szCs w:val="24"/>
                <w:lang w:val="en-US" w:eastAsia="zh-CN"/>
              </w:rPr>
              <w:t>搅拌釜中</w:t>
            </w:r>
            <w:r>
              <w:rPr>
                <w:rFonts w:hint="eastAsia" w:ascii="仿宋" w:hAnsi="仿宋" w:eastAsia="仿宋" w:cs="仿宋"/>
                <w:sz w:val="24"/>
                <w:szCs w:val="24"/>
                <w:lang w:val="en-US" w:eastAsia="zh-CN"/>
              </w:rPr>
              <w:t>当作溶剂用水使用</w:t>
            </w:r>
            <w:r>
              <w:rPr>
                <w:rFonts w:hint="default" w:ascii="仿宋" w:hAnsi="仿宋" w:eastAsia="仿宋" w:cs="仿宋"/>
                <w:sz w:val="24"/>
                <w:szCs w:val="24"/>
                <w:lang w:val="en-US" w:eastAsia="zh-CN"/>
              </w:rPr>
              <w:t>，</w:t>
            </w:r>
            <w:r>
              <w:rPr>
                <w:rFonts w:hint="eastAsia" w:ascii="仿宋" w:hAnsi="仿宋" w:eastAsia="仿宋" w:cs="仿宋"/>
                <w:sz w:val="24"/>
                <w:szCs w:val="24"/>
                <w:lang w:val="en-US" w:eastAsia="zh-CN"/>
              </w:rPr>
              <w:t>不外排；锅炉废水由专用桶收集，定期投入搅拌釜中当做溶剂用水使用</w:t>
            </w:r>
            <w:r>
              <w:rPr>
                <w:rFonts w:hint="default" w:ascii="仿宋" w:hAnsi="仿宋" w:eastAsia="仿宋" w:cs="仿宋"/>
                <w:sz w:val="24"/>
                <w:szCs w:val="24"/>
                <w:lang w:val="en-US" w:eastAsia="zh-CN"/>
              </w:rPr>
              <w:t>，不外排。</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restart"/>
            <w:tcBorders>
              <w:top w:val="single" w:color="auto" w:sz="4" w:space="0"/>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固废</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生活垃圾</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一般固废</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生活垃圾集中收集后，由环卫统一处理。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废包装袋</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一般固废</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zh-CN" w:eastAsia="zh-CN"/>
              </w:rPr>
              <w:t>收集后</w:t>
            </w:r>
            <w:r>
              <w:rPr>
                <w:rFonts w:hint="default" w:ascii="仿宋" w:hAnsi="仿宋" w:eastAsia="仿宋" w:cs="仿宋"/>
                <w:sz w:val="24"/>
                <w:szCs w:val="24"/>
                <w:lang w:val="en-US" w:eastAsia="zh-CN"/>
              </w:rPr>
              <w:t>出售给废品回收公司</w:t>
            </w:r>
            <w:r>
              <w:rPr>
                <w:rFonts w:hint="eastAsia" w:ascii="仿宋" w:hAnsi="仿宋" w:eastAsia="仿宋" w:cs="仿宋"/>
                <w:sz w:val="24"/>
                <w:szCs w:val="24"/>
                <w:lang w:val="en-US" w:eastAsia="zh-CN"/>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68"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废机油</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危险废物</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交由有资质单位处理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top w:val="single" w:color="auto" w:sz="4" w:space="0"/>
              <w:left w:val="single" w:color="auto" w:sz="12" w:space="0"/>
              <w:bottom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噪声</w:t>
            </w:r>
          </w:p>
        </w:tc>
        <w:tc>
          <w:tcPr>
            <w:tcW w:w="7653" w:type="dxa"/>
            <w:gridSpan w:val="3"/>
            <w:tcBorders>
              <w:top w:val="single" w:color="auto" w:sz="4" w:space="0"/>
              <w:left w:val="single" w:color="auto" w:sz="4" w:space="0"/>
              <w:bottom w:val="single" w:color="auto" w:sz="12"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噪声主要为设备噪声，经</w:t>
            </w:r>
            <w:r>
              <w:rPr>
                <w:rFonts w:hint="eastAsia" w:ascii="仿宋" w:hAnsi="仿宋" w:eastAsia="仿宋" w:cs="仿宋"/>
                <w:sz w:val="24"/>
                <w:szCs w:val="24"/>
                <w:lang w:val="en-US" w:eastAsia="zh-CN"/>
              </w:rPr>
              <w:t>减震、消声、隔音等措施后</w:t>
            </w:r>
            <w:r>
              <w:rPr>
                <w:rFonts w:hint="default" w:ascii="仿宋" w:hAnsi="仿宋" w:eastAsia="仿宋" w:cs="仿宋"/>
                <w:sz w:val="24"/>
                <w:szCs w:val="24"/>
                <w:lang w:val="en-US" w:eastAsia="zh-CN"/>
              </w:rPr>
              <w:t>，厂界噪声值可以满足《工业企业厂界环境噪声排放标准》（GB12348-2008）3类标准。</w:t>
            </w:r>
          </w:p>
        </w:tc>
      </w:tr>
    </w:tbl>
    <w:p>
      <w:pPr>
        <w:pStyle w:val="2"/>
        <w:rPr>
          <w:rFonts w:hint="default" w:ascii="Times New Roman" w:hAnsi="Times New Roman" w:cs="Times New Roman"/>
          <w:color w:val="auto"/>
          <w:lang w:val="en-US" w:eastAsia="zh-CN"/>
        </w:rPr>
      </w:pPr>
      <w:bookmarkStart w:id="150" w:name="_Toc10644"/>
      <w:bookmarkStart w:id="151" w:name="_Toc26530"/>
      <w:r>
        <w:rPr>
          <w:rFonts w:hint="default" w:ascii="Times New Roman" w:hAnsi="Times New Roman" w:cs="Times New Roman"/>
          <w:color w:val="auto"/>
          <w:lang w:val="en-US" w:eastAsia="zh-CN"/>
        </w:rPr>
        <w:t>3.</w:t>
      </w:r>
      <w:r>
        <w:rPr>
          <w:rFonts w:hint="eastAsia" w:ascii="Times New Roman" w:hAnsi="Times New Roman" w:cs="Times New Roman"/>
          <w:color w:val="auto"/>
          <w:lang w:val="en-US" w:eastAsia="zh-CN"/>
        </w:rPr>
        <w:t xml:space="preserve">4 </w:t>
      </w:r>
      <w:r>
        <w:rPr>
          <w:rFonts w:hint="default" w:ascii="Times New Roman" w:hAnsi="Times New Roman" w:cs="Times New Roman"/>
          <w:color w:val="auto"/>
          <w:lang w:val="en-US" w:eastAsia="zh-CN"/>
        </w:rPr>
        <w:t>周边环境敏感点</w:t>
      </w:r>
      <w:bookmarkEnd w:id="150"/>
      <w:bookmarkEnd w:id="151"/>
    </w:p>
    <w:p>
      <w:pPr>
        <w:spacing w:line="240" w:lineRule="auto"/>
        <w:jc w:val="center"/>
        <w:rPr>
          <w:rFonts w:hint="default" w:ascii="Times New Roman" w:hAnsi="Times New Roman" w:eastAsia="仿宋" w:cs="Times New Roman"/>
          <w:b/>
          <w:bCs/>
          <w:color w:val="auto"/>
          <w:sz w:val="24"/>
          <w:szCs w:val="24"/>
          <w:highlight w:val="none"/>
          <w:lang w:val="en-US" w:eastAsia="zh-CN"/>
        </w:rPr>
      </w:pPr>
      <w:bookmarkStart w:id="152" w:name="_Toc32494"/>
      <w:r>
        <w:rPr>
          <w:rFonts w:hint="default" w:ascii="Times New Roman" w:hAnsi="Times New Roman" w:eastAsia="仿宋" w:cs="Times New Roman"/>
          <w:b/>
          <w:bCs/>
          <w:color w:val="auto"/>
          <w:sz w:val="24"/>
          <w:szCs w:val="24"/>
          <w:highlight w:val="none"/>
          <w:lang w:val="en-US" w:eastAsia="zh-CN"/>
        </w:rPr>
        <w:t>表</w:t>
      </w:r>
      <w:r>
        <w:rPr>
          <w:rFonts w:hint="eastAsia" w:ascii="Times New Roman" w:hAnsi="Times New Roman" w:cs="Times New Roman"/>
          <w:b/>
          <w:bCs/>
          <w:color w:val="auto"/>
          <w:sz w:val="24"/>
          <w:szCs w:val="24"/>
          <w:highlight w:val="none"/>
          <w:lang w:val="en-US" w:eastAsia="zh-CN"/>
        </w:rPr>
        <w:t>3</w:t>
      </w:r>
      <w:r>
        <w:rPr>
          <w:rFonts w:hint="eastAsia" w:ascii="Times New Roman" w:hAnsi="Times New Roman" w:eastAsia="仿宋" w:cs="Times New Roman"/>
          <w:b/>
          <w:bCs/>
          <w:color w:val="auto"/>
          <w:sz w:val="24"/>
          <w:szCs w:val="24"/>
          <w:highlight w:val="none"/>
          <w:lang w:val="en-US" w:eastAsia="zh-CN"/>
        </w:rPr>
        <w:t>-</w:t>
      </w:r>
      <w:r>
        <w:rPr>
          <w:rFonts w:hint="eastAsia" w:ascii="Times New Roman" w:hAnsi="Times New Roman" w:cs="Times New Roman"/>
          <w:b/>
          <w:bCs/>
          <w:color w:val="auto"/>
          <w:sz w:val="24"/>
          <w:szCs w:val="24"/>
          <w:highlight w:val="none"/>
          <w:lang w:val="en-US" w:eastAsia="zh-CN"/>
        </w:rPr>
        <w:t>6</w:t>
      </w:r>
      <w:r>
        <w:rPr>
          <w:rFonts w:hint="default" w:ascii="Times New Roman" w:hAnsi="Times New Roman" w:eastAsia="仿宋" w:cs="Times New Roman"/>
          <w:b/>
          <w:bCs/>
          <w:color w:val="auto"/>
          <w:sz w:val="24"/>
          <w:szCs w:val="24"/>
          <w:highlight w:val="none"/>
          <w:lang w:val="en-US" w:eastAsia="zh-CN"/>
        </w:rPr>
        <w:t xml:space="preserve"> 厂区</w:t>
      </w:r>
      <w:r>
        <w:rPr>
          <w:rFonts w:hint="eastAsia" w:ascii="Times New Roman" w:hAnsi="Times New Roman" w:cs="Times New Roman"/>
          <w:b/>
          <w:bCs/>
          <w:color w:val="auto"/>
          <w:sz w:val="24"/>
          <w:szCs w:val="24"/>
          <w:highlight w:val="none"/>
          <w:lang w:val="en-US" w:eastAsia="zh-CN"/>
        </w:rPr>
        <w:t>周围敏感点</w:t>
      </w:r>
      <w:r>
        <w:rPr>
          <w:rFonts w:hint="default" w:ascii="Times New Roman" w:hAnsi="Times New Roman" w:eastAsia="仿宋" w:cs="Times New Roman"/>
          <w:b/>
          <w:bCs/>
          <w:color w:val="auto"/>
          <w:sz w:val="24"/>
          <w:szCs w:val="24"/>
          <w:highlight w:val="none"/>
          <w:lang w:val="en-US" w:eastAsia="zh-CN"/>
        </w:rPr>
        <w:t>一览表</w:t>
      </w:r>
    </w:p>
    <w:tbl>
      <w:tblPr>
        <w:tblStyle w:val="20"/>
        <w:tblW w:w="85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23"/>
        <w:gridCol w:w="1305"/>
        <w:gridCol w:w="1560"/>
        <w:gridCol w:w="1545"/>
        <w:gridCol w:w="1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保护对象</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eastAsia="仿宋" w:cs="仿宋"/>
                <w:sz w:val="24"/>
                <w:szCs w:val="24"/>
                <w:vertAlign w:val="baseline"/>
                <w:lang w:eastAsia="zh-CN"/>
              </w:rPr>
              <w:t>方位</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距离（m）</w:t>
            </w:r>
          </w:p>
        </w:tc>
        <w:tc>
          <w:tcPr>
            <w:tcW w:w="154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cs="仿宋"/>
                <w:sz w:val="24"/>
                <w:szCs w:val="24"/>
                <w:vertAlign w:val="baseline"/>
                <w:lang w:val="en-US" w:eastAsia="zh-CN"/>
              </w:rPr>
              <w:t>规模</w:t>
            </w:r>
          </w:p>
        </w:tc>
        <w:tc>
          <w:tcPr>
            <w:tcW w:w="1987"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cs="仿宋"/>
                <w:sz w:val="24"/>
                <w:szCs w:val="24"/>
                <w:vertAlign w:val="baseline"/>
                <w:lang w:val="en-US" w:eastAsia="zh-CN"/>
              </w:rPr>
              <w:t>保护目标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default"/>
                <w:sz w:val="24"/>
                <w:szCs w:val="24"/>
              </w:rPr>
              <w:t>大王中心小学</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default"/>
                <w:sz w:val="24"/>
                <w:szCs w:val="24"/>
              </w:rPr>
              <w:t>100m</w:t>
            </w:r>
          </w:p>
        </w:tc>
        <w:tc>
          <w:tcPr>
            <w:tcW w:w="1545" w:type="dxa"/>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约200人</w:t>
            </w:r>
          </w:p>
        </w:tc>
        <w:tc>
          <w:tcPr>
            <w:tcW w:w="1987" w:type="dxa"/>
            <w:vMerge w:val="restart"/>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default" w:ascii="仿宋" w:hAnsi="仿宋" w:eastAsia="仿宋" w:cs="仿宋"/>
                <w:sz w:val="24"/>
                <w:szCs w:val="24"/>
                <w:vertAlign w:val="baseline"/>
                <w:lang w:val="zh-CN" w:eastAsia="zh-CN"/>
              </w:rPr>
              <w:t>达到《环境空气质量标准》</w:t>
            </w:r>
            <w:r>
              <w:rPr>
                <w:rFonts w:hint="default" w:ascii="仿宋" w:hAnsi="仿宋" w:eastAsia="仿宋" w:cs="仿宋"/>
                <w:sz w:val="24"/>
                <w:szCs w:val="24"/>
                <w:vertAlign w:val="baseline"/>
                <w:lang w:val="en-US" w:eastAsia="zh-CN"/>
              </w:rPr>
              <w:t>（GB3095-2012）</w:t>
            </w:r>
            <w:r>
              <w:rPr>
                <w:rFonts w:hint="default" w:ascii="仿宋" w:hAnsi="仿宋" w:eastAsia="仿宋" w:cs="仿宋"/>
                <w:sz w:val="24"/>
                <w:szCs w:val="24"/>
                <w:vertAlign w:val="baseline"/>
                <w:lang w:val="zh-CN" w:eastAsia="zh-CN"/>
              </w:rPr>
              <w:t>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平陵乡大王村</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西南</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sz w:val="24"/>
                <w:szCs w:val="24"/>
                <w:lang w:val="en-US" w:eastAsia="zh-CN"/>
              </w:rPr>
              <w:t>37</w:t>
            </w:r>
            <w:r>
              <w:rPr>
                <w:rFonts w:hint="default"/>
                <w:sz w:val="24"/>
                <w:szCs w:val="24"/>
              </w:rPr>
              <w:t>0m</w:t>
            </w:r>
          </w:p>
        </w:tc>
        <w:tc>
          <w:tcPr>
            <w:tcW w:w="1545" w:type="dxa"/>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约120人</w:t>
            </w:r>
          </w:p>
        </w:tc>
        <w:tc>
          <w:tcPr>
            <w:tcW w:w="1987" w:type="dxa"/>
            <w:vMerge w:val="continue"/>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平陵中心卫生院</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西南</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sz w:val="24"/>
                <w:szCs w:val="24"/>
                <w:lang w:val="en-US" w:eastAsia="zh-CN"/>
              </w:rPr>
              <w:t>348</w:t>
            </w:r>
            <w:r>
              <w:rPr>
                <w:rFonts w:hint="eastAsia"/>
                <w:sz w:val="24"/>
                <w:szCs w:val="24"/>
              </w:rPr>
              <w:t>m</w:t>
            </w:r>
          </w:p>
        </w:tc>
        <w:tc>
          <w:tcPr>
            <w:tcW w:w="1545" w:type="dxa"/>
            <w:vAlign w:val="center"/>
          </w:tcPr>
          <w:p>
            <w:pPr>
              <w:keepNext w:val="0"/>
              <w:keepLines w:val="0"/>
              <w:suppressLineNumbers w:val="0"/>
              <w:spacing w:before="0" w:beforeAutospacing="0" w:after="0" w:afterAutospacing="0"/>
              <w:ind w:left="0" w:right="0"/>
              <w:jc w:val="center"/>
              <w:rPr>
                <w:rFonts w:hint="eastAsia"/>
                <w:sz w:val="24"/>
                <w:szCs w:val="24"/>
              </w:rPr>
            </w:pPr>
            <w:r>
              <w:rPr>
                <w:rFonts w:hint="eastAsia"/>
                <w:sz w:val="24"/>
                <w:szCs w:val="24"/>
              </w:rPr>
              <w:t>约</w:t>
            </w:r>
            <w:r>
              <w:rPr>
                <w:rFonts w:hint="eastAsia"/>
                <w:sz w:val="24"/>
                <w:szCs w:val="24"/>
                <w:lang w:val="en-US" w:eastAsia="zh-CN"/>
              </w:rPr>
              <w:t>5</w:t>
            </w:r>
            <w:r>
              <w:rPr>
                <w:rFonts w:hint="default"/>
                <w:sz w:val="24"/>
                <w:szCs w:val="24"/>
              </w:rPr>
              <w:t>0</w:t>
            </w:r>
            <w:r>
              <w:rPr>
                <w:rFonts w:hint="eastAsia"/>
                <w:sz w:val="24"/>
                <w:szCs w:val="24"/>
              </w:rPr>
              <w:t>人</w:t>
            </w:r>
          </w:p>
        </w:tc>
        <w:tc>
          <w:tcPr>
            <w:tcW w:w="1987" w:type="dxa"/>
            <w:vMerge w:val="continue"/>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p>
        </w:tc>
      </w:tr>
    </w:tbl>
    <w:p>
      <w:pPr>
        <w:pStyle w:val="2"/>
        <w:rPr>
          <w:rFonts w:hint="default" w:ascii="Times New Roman" w:hAnsi="Times New Roman" w:cs="Times New Roman"/>
          <w:b/>
          <w:bCs w:val="0"/>
          <w:color w:val="auto"/>
          <w:lang w:val="en-US" w:eastAsia="zh-CN"/>
        </w:rPr>
      </w:pPr>
      <w:bookmarkStart w:id="153" w:name="_Toc30040"/>
      <w:r>
        <w:rPr>
          <w:rFonts w:hint="default" w:ascii="Times New Roman" w:hAnsi="Times New Roman" w:cs="Times New Roman"/>
          <w:b/>
          <w:bCs w:val="0"/>
          <w:color w:val="auto"/>
          <w:lang w:val="en-US" w:eastAsia="zh-CN"/>
        </w:rPr>
        <w:t>3.</w:t>
      </w:r>
      <w:r>
        <w:rPr>
          <w:rFonts w:hint="eastAsia" w:ascii="Times New Roman" w:hAnsi="Times New Roman" w:cs="Times New Roman"/>
          <w:b/>
          <w:bCs w:val="0"/>
          <w:color w:val="auto"/>
          <w:lang w:val="en-US" w:eastAsia="zh-CN"/>
        </w:rPr>
        <w:t xml:space="preserve">5 </w:t>
      </w:r>
      <w:r>
        <w:rPr>
          <w:rFonts w:hint="default" w:ascii="Times New Roman" w:hAnsi="Times New Roman" w:cs="Times New Roman"/>
          <w:b/>
          <w:bCs w:val="0"/>
          <w:color w:val="auto"/>
          <w:lang w:val="en-US" w:eastAsia="zh-CN"/>
        </w:rPr>
        <w:t>现有风险防控与应急措施情况</w:t>
      </w:r>
      <w:bookmarkEnd w:id="152"/>
      <w:bookmarkEnd w:id="153"/>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154" w:name="_Toc789"/>
      <w:bookmarkStart w:id="155" w:name="_Toc6849"/>
      <w:bookmarkStart w:id="156" w:name="_Toc31704"/>
      <w:bookmarkStart w:id="157" w:name="_Toc8605"/>
      <w:r>
        <w:rPr>
          <w:rFonts w:hint="eastAsia" w:ascii="Times New Roman" w:hAnsi="Times New Roman" w:cs="Times New Roman"/>
          <w:bCs w:val="0"/>
          <w:color w:val="auto"/>
          <w:kern w:val="2"/>
          <w:sz w:val="28"/>
          <w:szCs w:val="24"/>
          <w:lang w:val="en-US" w:eastAsia="zh-CN" w:bidi="ar-SA"/>
        </w:rPr>
        <w:t>3.5</w:t>
      </w:r>
      <w:r>
        <w:rPr>
          <w:rFonts w:hint="default" w:ascii="Times New Roman" w:hAnsi="Times New Roman" w:eastAsia="仿宋" w:cs="Times New Roman"/>
          <w:bCs w:val="0"/>
          <w:color w:val="auto"/>
          <w:kern w:val="2"/>
          <w:sz w:val="28"/>
          <w:szCs w:val="24"/>
          <w:lang w:eastAsia="zh-CN" w:bidi="ar-SA"/>
        </w:rPr>
        <w:t>.1 风险源安全防范措施</w:t>
      </w:r>
      <w:bookmarkEnd w:id="154"/>
      <w:bookmarkEnd w:id="155"/>
      <w:bookmarkEnd w:id="156"/>
      <w:bookmarkEnd w:id="157"/>
    </w:p>
    <w:p>
      <w:pPr>
        <w:pStyle w:val="17"/>
        <w:keepNext w:val="0"/>
        <w:keepLines w:val="0"/>
        <w:pageBreakBefore w:val="0"/>
        <w:widowControl w:val="0"/>
        <w:kinsoku/>
        <w:wordWrap/>
        <w:overflowPunct/>
        <w:topLinePunct/>
        <w:autoSpaceDE/>
        <w:autoSpaceDN w:val="0"/>
        <w:bidi w:val="0"/>
        <w:adjustRightInd w:val="0"/>
        <w:snapToGrid w:val="0"/>
        <w:spacing w:beforeAutospacing="0" w:afterAutospacing="0" w:line="360" w:lineRule="auto"/>
        <w:ind w:firstLine="560" w:firstLineChars="200"/>
        <w:jc w:val="left"/>
        <w:textAlignment w:val="auto"/>
        <w:rPr>
          <w:rFonts w:ascii="Times New Roman" w:hAnsi="Times New Roman" w:eastAsia="仿宋"/>
          <w:color w:val="auto"/>
          <w:sz w:val="28"/>
          <w:szCs w:val="28"/>
        </w:rPr>
      </w:pPr>
      <w:r>
        <w:rPr>
          <w:rFonts w:ascii="Times New Roman" w:hAnsi="Times New Roman" w:eastAsia="仿宋"/>
          <w:color w:val="auto"/>
          <w:kern w:val="0"/>
          <w:sz w:val="28"/>
          <w:szCs w:val="28"/>
          <w:lang w:bidi="ar"/>
        </w:rPr>
        <w:t>1、</w:t>
      </w:r>
      <w:r>
        <w:rPr>
          <w:rFonts w:hint="eastAsia" w:ascii="Times New Roman" w:hAnsi="Times New Roman" w:eastAsia="仿宋"/>
          <w:color w:val="auto"/>
          <w:kern w:val="0"/>
          <w:sz w:val="28"/>
          <w:szCs w:val="28"/>
          <w:lang w:bidi="ar"/>
        </w:rPr>
        <w:t>危险化学品和</w:t>
      </w:r>
      <w:r>
        <w:rPr>
          <w:rFonts w:ascii="Times New Roman" w:hAnsi="Times New Roman" w:eastAsia="仿宋"/>
          <w:color w:val="auto"/>
          <w:kern w:val="0"/>
          <w:sz w:val="28"/>
          <w:szCs w:val="28"/>
          <w:lang w:bidi="ar"/>
        </w:rPr>
        <w:t>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泄漏事故防范措施</w:t>
      </w:r>
    </w:p>
    <w:p>
      <w:pPr>
        <w:pStyle w:val="17"/>
        <w:topLinePunct/>
        <w:autoSpaceDN w:val="0"/>
        <w:spacing w:line="360" w:lineRule="auto"/>
        <w:rPr>
          <w:rFonts w:ascii="Times New Roman" w:hAnsi="Times New Roman" w:eastAsia="仿宋"/>
          <w:color w:val="auto"/>
          <w:sz w:val="28"/>
          <w:szCs w:val="28"/>
        </w:rPr>
      </w:pPr>
      <w:r>
        <w:rPr>
          <w:rFonts w:ascii="Times New Roman" w:hAnsi="Times New Roman" w:eastAsia="仿宋"/>
          <w:color w:val="auto"/>
          <w:kern w:val="0"/>
          <w:sz w:val="28"/>
          <w:szCs w:val="28"/>
          <w:lang w:bidi="ar"/>
        </w:rPr>
        <w:t xml:space="preserve">   （1）公司将危险</w:t>
      </w:r>
      <w:r>
        <w:rPr>
          <w:rFonts w:hint="eastAsia" w:ascii="Times New Roman" w:hAnsi="Times New Roman" w:eastAsia="仿宋"/>
          <w:color w:val="auto"/>
          <w:kern w:val="0"/>
          <w:sz w:val="28"/>
          <w:szCs w:val="28"/>
          <w:lang w:bidi="ar"/>
        </w:rPr>
        <w:t>废物和危险化学品</w:t>
      </w:r>
      <w:r>
        <w:rPr>
          <w:rFonts w:ascii="Times New Roman" w:hAnsi="Times New Roman" w:eastAsia="仿宋"/>
          <w:color w:val="auto"/>
          <w:kern w:val="0"/>
          <w:sz w:val="28"/>
          <w:szCs w:val="28"/>
          <w:lang w:bidi="ar"/>
        </w:rPr>
        <w:t>的贮存和</w:t>
      </w:r>
      <w:r>
        <w:rPr>
          <w:rFonts w:hint="eastAsia" w:ascii="Times New Roman" w:hAnsi="Times New Roman" w:eastAsia="仿宋"/>
          <w:color w:val="auto"/>
          <w:kern w:val="0"/>
          <w:sz w:val="28"/>
          <w:szCs w:val="28"/>
          <w:lang w:bidi="ar"/>
        </w:rPr>
        <w:t>经营</w:t>
      </w:r>
      <w:r>
        <w:rPr>
          <w:rFonts w:ascii="Times New Roman" w:hAnsi="Times New Roman" w:eastAsia="仿宋"/>
          <w:color w:val="auto"/>
          <w:kern w:val="0"/>
          <w:sz w:val="28"/>
          <w:szCs w:val="28"/>
          <w:lang w:bidi="ar"/>
        </w:rPr>
        <w:t>纳入日常的环境安全管理，定期或不定期实施环境安全检查，发现隐患及时整改；</w:t>
      </w:r>
    </w:p>
    <w:p>
      <w:pPr>
        <w:pStyle w:val="17"/>
        <w:topLinePunct/>
        <w:autoSpaceDN w:val="0"/>
        <w:spacing w:line="360" w:lineRule="auto"/>
        <w:jc w:val="left"/>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（2）</w:t>
      </w:r>
      <w:r>
        <w:rPr>
          <w:rFonts w:hint="eastAsia" w:ascii="Times New Roman" w:hAnsi="Times New Roman" w:eastAsia="仿宋"/>
          <w:color w:val="auto"/>
          <w:kern w:val="0"/>
          <w:sz w:val="28"/>
          <w:szCs w:val="28"/>
          <w:lang w:bidi="ar"/>
        </w:rPr>
        <w:t>危险废物</w:t>
      </w:r>
      <w:r>
        <w:rPr>
          <w:rFonts w:ascii="Times New Roman" w:hAnsi="Times New Roman" w:eastAsia="仿宋"/>
          <w:color w:val="auto"/>
          <w:kern w:val="0"/>
          <w:sz w:val="28"/>
          <w:szCs w:val="28"/>
          <w:lang w:bidi="ar"/>
        </w:rPr>
        <w:t>悬挂名称、理化特性、健康危害、应急处理措施和注意防护事项等；</w:t>
      </w:r>
    </w:p>
    <w:p>
      <w:pPr>
        <w:pStyle w:val="17"/>
        <w:topLinePunct/>
        <w:autoSpaceDN w:val="0"/>
        <w:spacing w:line="360" w:lineRule="auto"/>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w:t>
      </w:r>
      <w:r>
        <w:rPr>
          <w:rFonts w:hint="eastAsia" w:eastAsia="仿宋"/>
          <w:color w:val="auto"/>
          <w:kern w:val="0"/>
          <w:sz w:val="28"/>
          <w:szCs w:val="28"/>
          <w:lang w:val="en-US" w:eastAsia="zh-CN" w:bidi="ar"/>
        </w:rPr>
        <w:t>3</w:t>
      </w:r>
      <w:r>
        <w:rPr>
          <w:rFonts w:ascii="Times New Roman" w:hAnsi="Times New Roman" w:eastAsia="仿宋"/>
          <w:color w:val="auto"/>
          <w:kern w:val="0"/>
          <w:sz w:val="28"/>
          <w:szCs w:val="28"/>
          <w:lang w:bidi="ar"/>
        </w:rPr>
        <w:t>）</w:t>
      </w:r>
      <w:r>
        <w:rPr>
          <w:rFonts w:hint="eastAsia" w:ascii="Times New Roman" w:hAnsi="Times New Roman" w:eastAsia="仿宋"/>
          <w:color w:val="auto"/>
          <w:kern w:val="0"/>
          <w:sz w:val="28"/>
          <w:szCs w:val="28"/>
          <w:lang w:bidi="ar"/>
        </w:rPr>
        <w:t>安环部管理人员</w:t>
      </w:r>
      <w:r>
        <w:rPr>
          <w:rFonts w:ascii="Times New Roman" w:hAnsi="Times New Roman" w:eastAsia="仿宋"/>
          <w:color w:val="auto"/>
          <w:kern w:val="0"/>
          <w:sz w:val="28"/>
          <w:szCs w:val="28"/>
          <w:lang w:bidi="ar"/>
        </w:rPr>
        <w:t>每天对现场实施巡检，发现异常情况及时处置；</w:t>
      </w:r>
    </w:p>
    <w:p>
      <w:pPr>
        <w:pStyle w:val="17"/>
        <w:topLinePunct/>
        <w:autoSpaceDN w:val="0"/>
        <w:spacing w:line="360" w:lineRule="auto"/>
        <w:rPr>
          <w:rFonts w:hint="eastAsia" w:eastAsia="仿宋"/>
          <w:color w:val="auto"/>
          <w:kern w:val="0"/>
          <w:sz w:val="28"/>
          <w:szCs w:val="28"/>
          <w:lang w:eastAsia="zh-CN" w:bidi="ar"/>
        </w:rPr>
      </w:pPr>
      <w:r>
        <w:rPr>
          <w:rFonts w:ascii="Times New Roman" w:hAnsi="Times New Roman" w:eastAsia="仿宋"/>
          <w:color w:val="auto"/>
          <w:kern w:val="0"/>
          <w:sz w:val="28"/>
          <w:szCs w:val="28"/>
          <w:lang w:bidi="ar"/>
        </w:rPr>
        <w:t xml:space="preserve">   （</w:t>
      </w:r>
      <w:r>
        <w:rPr>
          <w:rFonts w:hint="eastAsia" w:eastAsia="仿宋"/>
          <w:color w:val="auto"/>
          <w:kern w:val="0"/>
          <w:sz w:val="28"/>
          <w:szCs w:val="28"/>
          <w:lang w:val="en-US" w:eastAsia="zh-CN" w:bidi="ar"/>
        </w:rPr>
        <w:t>4</w:t>
      </w:r>
      <w:r>
        <w:rPr>
          <w:rFonts w:ascii="Times New Roman" w:hAnsi="Times New Roman" w:eastAsia="仿宋"/>
          <w:color w:val="auto"/>
          <w:kern w:val="0"/>
          <w:sz w:val="28"/>
          <w:szCs w:val="28"/>
          <w:lang w:bidi="ar"/>
        </w:rPr>
        <w:t>）公司针对危险</w:t>
      </w:r>
      <w:r>
        <w:rPr>
          <w:rFonts w:hint="eastAsia" w:ascii="Times New Roman" w:hAnsi="Times New Roman" w:eastAsia="仿宋"/>
          <w:color w:val="auto"/>
          <w:kern w:val="0"/>
          <w:sz w:val="28"/>
          <w:szCs w:val="28"/>
          <w:lang w:bidi="ar"/>
        </w:rPr>
        <w:t>废物、危险化学品</w:t>
      </w:r>
      <w:r>
        <w:rPr>
          <w:rFonts w:ascii="Times New Roman" w:hAnsi="Times New Roman" w:eastAsia="仿宋"/>
          <w:color w:val="auto"/>
          <w:kern w:val="0"/>
          <w:sz w:val="28"/>
          <w:szCs w:val="28"/>
          <w:lang w:bidi="ar"/>
        </w:rPr>
        <w:t>的环境风险特征，准备应急物资，如堵漏装置、收集装置、吸附材料、消防器材等</w:t>
      </w:r>
      <w:r>
        <w:rPr>
          <w:rFonts w:hint="eastAsia" w:eastAsia="仿宋"/>
          <w:color w:val="auto"/>
          <w:kern w:val="0"/>
          <w:sz w:val="28"/>
          <w:szCs w:val="28"/>
          <w:lang w:eastAsia="zh-CN" w:bidi="ar"/>
        </w:rPr>
        <w:t>；</w:t>
      </w:r>
    </w:p>
    <w:p>
      <w:pPr>
        <w:pStyle w:val="17"/>
        <w:topLinePunct/>
        <w:autoSpaceDN w:val="0"/>
        <w:spacing w:line="360" w:lineRule="auto"/>
        <w:ind w:firstLine="560" w:firstLineChars="200"/>
        <w:rPr>
          <w:rFonts w:hint="eastAsia" w:eastAsia="仿宋"/>
          <w:color w:val="auto"/>
          <w:kern w:val="0"/>
          <w:sz w:val="28"/>
          <w:szCs w:val="28"/>
          <w:lang w:eastAsia="zh-CN" w:bidi="ar"/>
        </w:rPr>
      </w:pPr>
      <w:r>
        <w:rPr>
          <w:rFonts w:hint="eastAsia" w:eastAsia="仿宋"/>
          <w:color w:val="auto"/>
          <w:kern w:val="0"/>
          <w:sz w:val="28"/>
          <w:szCs w:val="28"/>
          <w:lang w:eastAsia="zh-CN" w:bidi="ar"/>
        </w:rPr>
        <w:t>（</w:t>
      </w:r>
      <w:r>
        <w:rPr>
          <w:rFonts w:hint="eastAsia" w:eastAsia="仿宋"/>
          <w:color w:val="auto"/>
          <w:kern w:val="0"/>
          <w:sz w:val="28"/>
          <w:szCs w:val="28"/>
          <w:lang w:val="en-US" w:eastAsia="zh-CN" w:bidi="ar"/>
        </w:rPr>
        <w:t>6</w:t>
      </w:r>
      <w:r>
        <w:rPr>
          <w:rFonts w:hint="eastAsia" w:eastAsia="仿宋"/>
          <w:color w:val="auto"/>
          <w:kern w:val="0"/>
          <w:sz w:val="28"/>
          <w:szCs w:val="28"/>
          <w:lang w:eastAsia="zh-CN" w:bidi="ar"/>
        </w:rPr>
        <w:t>）在天然气输送管道安装可燃气体报警器，定期对输送管道进行气密性检查。</w:t>
      </w:r>
    </w:p>
    <w:p>
      <w:pPr>
        <w:pStyle w:val="17"/>
        <w:keepNext w:val="0"/>
        <w:keepLines w:val="0"/>
        <w:pageBreakBefore w:val="0"/>
        <w:widowControl w:val="0"/>
        <w:kinsoku/>
        <w:wordWrap/>
        <w:overflowPunct/>
        <w:topLinePunct/>
        <w:autoSpaceDE/>
        <w:autoSpaceDN w:val="0"/>
        <w:bidi w:val="0"/>
        <w:adjustRightInd w:val="0"/>
        <w:snapToGrid w:val="0"/>
        <w:spacing w:beforeAutospacing="0" w:afterAutospacing="0" w:line="360" w:lineRule="auto"/>
        <w:ind w:firstLine="560" w:firstLineChars="200"/>
        <w:jc w:val="left"/>
        <w:textAlignment w:val="auto"/>
        <w:rPr>
          <w:rFonts w:ascii="Times New Roman" w:hAnsi="Times New Roman" w:eastAsia="仿宋"/>
          <w:color w:val="auto"/>
          <w:kern w:val="0"/>
          <w:sz w:val="28"/>
          <w:szCs w:val="28"/>
          <w:lang w:bidi="ar"/>
        </w:rPr>
      </w:pPr>
      <w:r>
        <w:rPr>
          <w:rFonts w:hint="eastAsia" w:ascii="Times New Roman" w:hAnsi="Times New Roman"/>
          <w:color w:val="auto"/>
          <w:sz w:val="28"/>
          <w:szCs w:val="28"/>
          <w:lang w:val="en-US" w:eastAsia="zh-CN"/>
        </w:rPr>
        <w:t>2</w:t>
      </w:r>
      <w:r>
        <w:rPr>
          <w:rFonts w:hint="eastAsia" w:ascii="Times New Roman" w:hAnsi="Times New Roman" w:eastAsia="仿宋"/>
          <w:color w:val="auto"/>
          <w:sz w:val="28"/>
          <w:szCs w:val="28"/>
        </w:rPr>
        <w:t>、</w:t>
      </w:r>
      <w:r>
        <w:rPr>
          <w:rFonts w:ascii="Times New Roman" w:hAnsi="Times New Roman" w:eastAsia="仿宋"/>
          <w:color w:val="auto"/>
          <w:kern w:val="0"/>
          <w:sz w:val="28"/>
          <w:szCs w:val="28"/>
          <w:lang w:bidi="ar"/>
        </w:rPr>
        <w:t>火灾事故防范措施</w:t>
      </w:r>
    </w:p>
    <w:p>
      <w:pPr>
        <w:pStyle w:val="17"/>
        <w:keepNext w:val="0"/>
        <w:keepLines w:val="0"/>
        <w:pageBreakBefore w:val="0"/>
        <w:widowControl w:val="0"/>
        <w:kinsoku/>
        <w:wordWrap/>
        <w:overflowPunct/>
        <w:topLinePunct/>
        <w:autoSpaceDE/>
        <w:autoSpaceDN w:val="0"/>
        <w:bidi w:val="0"/>
        <w:adjustRightInd w:val="0"/>
        <w:snapToGrid w:val="0"/>
        <w:spacing w:beforeAutospacing="0" w:afterAutospacing="0" w:line="360" w:lineRule="auto"/>
        <w:jc w:val="left"/>
        <w:textAlignment w:val="auto"/>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1</w:t>
      </w:r>
      <w:r>
        <w:rPr>
          <w:rFonts w:ascii="Times New Roman" w:hAnsi="Times New Roman" w:eastAsia="仿宋"/>
          <w:color w:val="auto"/>
          <w:kern w:val="0"/>
          <w:sz w:val="28"/>
          <w:szCs w:val="28"/>
          <w:lang w:bidi="ar"/>
        </w:rPr>
        <w:t>）电气装置</w:t>
      </w:r>
      <w:r>
        <w:rPr>
          <w:rFonts w:hint="eastAsia" w:ascii="Times New Roman" w:hAnsi="Times New Roman" w:eastAsia="仿宋"/>
          <w:color w:val="auto"/>
          <w:kern w:val="0"/>
          <w:sz w:val="28"/>
          <w:szCs w:val="28"/>
          <w:lang w:bidi="ar"/>
        </w:rPr>
        <w:t>、</w:t>
      </w:r>
      <w:r>
        <w:rPr>
          <w:rFonts w:ascii="Times New Roman" w:hAnsi="Times New Roman" w:eastAsia="仿宋"/>
          <w:color w:val="auto"/>
          <w:kern w:val="0"/>
          <w:sz w:val="28"/>
          <w:szCs w:val="28"/>
          <w:lang w:bidi="ar"/>
        </w:rPr>
        <w:t>配电设备、线路定期检查、检修、保养，保持良好；健全电气安全规章制度、严格执行，定期对员工进行电气安全教育。</w:t>
      </w:r>
    </w:p>
    <w:p>
      <w:pPr>
        <w:pStyle w:val="17"/>
        <w:keepNext w:val="0"/>
        <w:keepLines w:val="0"/>
        <w:pageBreakBefore w:val="0"/>
        <w:widowControl w:val="0"/>
        <w:kinsoku/>
        <w:wordWrap/>
        <w:overflowPunct/>
        <w:topLinePunct/>
        <w:autoSpaceDE/>
        <w:autoSpaceDN w:val="0"/>
        <w:bidi w:val="0"/>
        <w:adjustRightInd w:val="0"/>
        <w:snapToGrid w:val="0"/>
        <w:spacing w:beforeAutospacing="0" w:afterAutospacing="0" w:line="360" w:lineRule="auto"/>
        <w:jc w:val="left"/>
        <w:textAlignment w:val="auto"/>
        <w:rPr>
          <w:rFonts w:hint="eastAsia" w:ascii="Times New Roman" w:hAnsi="Times New Roman" w:eastAsia="仿宋"/>
          <w:color w:val="auto"/>
          <w:kern w:val="0"/>
          <w:sz w:val="28"/>
          <w:szCs w:val="28"/>
          <w:lang w:val="en-US" w:eastAsia="zh-CN" w:bidi="ar"/>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2</w:t>
      </w:r>
      <w:r>
        <w:rPr>
          <w:rFonts w:ascii="Times New Roman" w:hAnsi="Times New Roman" w:eastAsia="仿宋"/>
          <w:color w:val="auto"/>
          <w:kern w:val="0"/>
          <w:sz w:val="28"/>
          <w:szCs w:val="28"/>
          <w:lang w:bidi="ar"/>
        </w:rPr>
        <w:t>）实行动火作业许可制度，严禁违规动火；危险</w:t>
      </w:r>
      <w:r>
        <w:rPr>
          <w:rFonts w:hint="eastAsia" w:ascii="Times New Roman" w:hAnsi="Times New Roman" w:eastAsia="仿宋"/>
          <w:color w:val="auto"/>
          <w:kern w:val="0"/>
          <w:sz w:val="28"/>
          <w:szCs w:val="28"/>
          <w:lang w:bidi="ar"/>
        </w:rPr>
        <w:t>废物、化学品</w:t>
      </w:r>
      <w:r>
        <w:rPr>
          <w:rFonts w:ascii="Times New Roman" w:hAnsi="Times New Roman" w:eastAsia="仿宋"/>
          <w:color w:val="auto"/>
          <w:kern w:val="0"/>
          <w:sz w:val="28"/>
          <w:szCs w:val="28"/>
          <w:lang w:bidi="ar"/>
        </w:rPr>
        <w:t>储存、使用场所严禁吸烟，严禁携带火种、穿带钉鞋进入危险区域</w:t>
      </w:r>
      <w:r>
        <w:rPr>
          <w:rFonts w:hint="eastAsia" w:ascii="Times New Roman" w:hAnsi="Times New Roman" w:eastAsia="仿宋"/>
          <w:color w:val="auto"/>
          <w:kern w:val="0"/>
          <w:sz w:val="28"/>
          <w:szCs w:val="28"/>
          <w:lang w:bidi="ar"/>
        </w:rPr>
        <w:t>。</w:t>
      </w:r>
      <w:r>
        <w:rPr>
          <w:rFonts w:hint="eastAsia" w:ascii="Times New Roman" w:hAnsi="Times New Roman" w:eastAsia="仿宋"/>
          <w:color w:val="auto"/>
          <w:kern w:val="0"/>
          <w:sz w:val="28"/>
          <w:szCs w:val="28"/>
          <w:lang w:eastAsia="zh-CN" w:bidi="ar"/>
        </w:rPr>
        <w:t>仓库区域禁止明火。</w:t>
      </w:r>
    </w:p>
    <w:p>
      <w:pPr>
        <w:pStyle w:val="17"/>
        <w:keepNext w:val="0"/>
        <w:keepLines w:val="0"/>
        <w:pageBreakBefore w:val="0"/>
        <w:widowControl w:val="0"/>
        <w:kinsoku/>
        <w:wordWrap/>
        <w:overflowPunct/>
        <w:topLinePunct/>
        <w:autoSpaceDE/>
        <w:autoSpaceDN w:val="0"/>
        <w:bidi w:val="0"/>
        <w:adjustRightInd w:val="0"/>
        <w:snapToGrid w:val="0"/>
        <w:spacing w:beforeAutospacing="0" w:afterAutospacing="0" w:line="360" w:lineRule="auto"/>
        <w:jc w:val="left"/>
        <w:textAlignment w:val="auto"/>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3</w:t>
      </w:r>
      <w:r>
        <w:rPr>
          <w:rFonts w:ascii="Times New Roman" w:hAnsi="Times New Roman" w:eastAsia="仿宋"/>
          <w:color w:val="auto"/>
          <w:kern w:val="0"/>
          <w:sz w:val="28"/>
          <w:szCs w:val="28"/>
          <w:lang w:bidi="ar"/>
        </w:rPr>
        <w:t>）制定危险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安全管理规定，加强危险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的贮存、使用及运输管理，完善通风、防泄漏、防静电等安全设施；按照标准、规范配齐消防设施和急救器材，消防设施和急救器材落实责任人。</w:t>
      </w:r>
    </w:p>
    <w:p>
      <w:pPr>
        <w:pStyle w:val="25"/>
        <w:keepNext w:val="0"/>
        <w:keepLines w:val="0"/>
        <w:pageBreakBefore w:val="0"/>
        <w:widowControl w:val="0"/>
        <w:numPr>
          <w:ilvl w:val="0"/>
          <w:numId w:val="0"/>
        </w:numPr>
        <w:suppressLineNumbers w:val="0"/>
        <w:kinsoku/>
        <w:wordWrap/>
        <w:overflowPunct/>
        <w:topLinePunct/>
        <w:autoSpaceDE/>
        <w:autoSpaceDN/>
        <w:bidi w:val="0"/>
        <w:adjustRightInd w:val="0"/>
        <w:snapToGrid w:val="0"/>
        <w:spacing w:before="0" w:beforeAutospacing="0" w:after="0" w:afterAutospacing="0" w:line="360" w:lineRule="auto"/>
        <w:ind w:right="0" w:rightChars="0"/>
        <w:jc w:val="left"/>
        <w:textAlignment w:val="auto"/>
        <w:outlineLvl w:val="9"/>
        <w:rPr>
          <w:rFonts w:hint="default" w:ascii="Times New Roman" w:hAnsi="Times New Roman" w:eastAsia="仿宋" w:cs="Times New Roman"/>
          <w:color w:val="auto"/>
          <w:kern w:val="0"/>
          <w:sz w:val="28"/>
          <w:szCs w:val="28"/>
          <w:highlight w:val="none"/>
          <w:lang w:val="en-US" w:eastAsia="zh-CN"/>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（4）公司厂区一旦发生火灾事故，在灭火的同时，应根据烟气方向疏散厂区及临近企业员工至上风向，防止火灾次生污染危害。</w:t>
      </w:r>
    </w:p>
    <w:p>
      <w:pPr>
        <w:pStyle w:val="17"/>
        <w:keepNext w:val="0"/>
        <w:keepLines w:val="0"/>
        <w:pageBreakBefore w:val="0"/>
        <w:widowControl w:val="0"/>
        <w:suppressLineNumbers w:val="0"/>
        <w:kinsoku/>
        <w:wordWrap/>
        <w:overflowPunct/>
        <w:topLinePunct/>
        <w:autoSpaceDE/>
        <w:autoSpaceDN w:val="0"/>
        <w:bidi w:val="0"/>
        <w:adjustRightInd w:val="0"/>
        <w:snapToGrid w:val="0"/>
        <w:spacing w:beforeAutospacing="0" w:afterAutospacing="0" w:line="360" w:lineRule="auto"/>
        <w:ind w:left="0" w:leftChars="0" w:right="0" w:rightChars="0" w:firstLine="560" w:firstLineChars="200"/>
        <w:jc w:val="left"/>
        <w:textAlignment w:val="auto"/>
        <w:outlineLvl w:val="9"/>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4、其他防范措施</w:t>
      </w:r>
    </w:p>
    <w:p>
      <w:pPr>
        <w:pStyle w:val="17"/>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firstLine="560" w:firstLineChars="200"/>
        <w:jc w:val="left"/>
        <w:textAlignment w:val="auto"/>
        <w:outlineLvl w:val="9"/>
        <w:rPr>
          <w:rFonts w:hint="eastAsia" w:ascii="Times New Roman" w:hAnsi="Times New Roman" w:eastAsia="仿宋" w:cstheme="minorBidi"/>
          <w:color w:val="auto"/>
          <w:kern w:val="0"/>
          <w:sz w:val="28"/>
          <w:szCs w:val="28"/>
          <w:lang w:val="en-US" w:eastAsia="zh-CN" w:bidi="ar"/>
        </w:rPr>
      </w:pPr>
      <w:bookmarkStart w:id="158" w:name="_Toc12244"/>
      <w:bookmarkStart w:id="159" w:name="_Toc31538"/>
      <w:bookmarkStart w:id="160" w:name="_Toc21485"/>
      <w:bookmarkStart w:id="161" w:name="_Toc1158"/>
      <w:r>
        <w:rPr>
          <w:rFonts w:hint="eastAsia" w:ascii="Times New Roman" w:hAnsi="Times New Roman" w:cstheme="minorBidi"/>
          <w:color w:val="auto"/>
          <w:kern w:val="0"/>
          <w:sz w:val="28"/>
          <w:szCs w:val="28"/>
          <w:lang w:val="en-US" w:eastAsia="zh-CN" w:bidi="ar"/>
        </w:rPr>
        <w:t>（1）</w:t>
      </w:r>
      <w:r>
        <w:rPr>
          <w:rFonts w:hint="eastAsia" w:ascii="Times New Roman" w:hAnsi="Times New Roman" w:eastAsia="仿宋" w:cstheme="minorBidi"/>
          <w:color w:val="auto"/>
          <w:kern w:val="0"/>
          <w:sz w:val="28"/>
          <w:szCs w:val="28"/>
          <w:lang w:val="en-US" w:eastAsia="zh-CN" w:bidi="ar"/>
        </w:rPr>
        <w:t>仓库区应设置火灾报警器。</w:t>
      </w:r>
    </w:p>
    <w:p>
      <w:pPr>
        <w:pStyle w:val="17"/>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firstLine="560" w:firstLineChars="200"/>
        <w:jc w:val="left"/>
        <w:textAlignment w:val="auto"/>
        <w:outlineLvl w:val="9"/>
        <w:rPr>
          <w:rFonts w:hint="default" w:ascii="Times New Roman" w:hAnsi="Times New Roman" w:eastAsia="仿宋" w:cstheme="minorBidi"/>
          <w:color w:val="auto"/>
          <w:kern w:val="0"/>
          <w:sz w:val="28"/>
          <w:szCs w:val="28"/>
          <w:lang w:val="en-US" w:eastAsia="zh-CN" w:bidi="ar"/>
        </w:rPr>
      </w:pPr>
      <w:r>
        <w:rPr>
          <w:rFonts w:hint="eastAsia" w:ascii="Times New Roman" w:hAnsi="Times New Roman" w:cstheme="minorBidi"/>
          <w:color w:val="auto"/>
          <w:kern w:val="0"/>
          <w:sz w:val="28"/>
          <w:szCs w:val="28"/>
          <w:lang w:val="en-US" w:eastAsia="zh-CN" w:bidi="ar"/>
        </w:rPr>
        <w:t>（2）</w:t>
      </w:r>
      <w:r>
        <w:rPr>
          <w:rFonts w:hint="default" w:ascii="Times New Roman" w:hAnsi="Times New Roman" w:eastAsia="仿宋" w:cstheme="minorBidi"/>
          <w:color w:val="auto"/>
          <w:kern w:val="0"/>
          <w:sz w:val="28"/>
          <w:szCs w:val="28"/>
          <w:lang w:val="en-US" w:eastAsia="zh-CN" w:bidi="ar"/>
        </w:rPr>
        <w:t>作业人员必须严格执行安全操作规程，作业时必须佩戴好相应的劳动保护用品。</w:t>
      </w:r>
    </w:p>
    <w:p>
      <w:pPr>
        <w:pStyle w:val="17"/>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firstLine="560" w:firstLineChars="200"/>
        <w:jc w:val="left"/>
        <w:textAlignment w:val="auto"/>
        <w:outlineLvl w:val="9"/>
        <w:rPr>
          <w:rFonts w:hint="default" w:ascii="Times New Roman" w:hAnsi="Times New Roman" w:eastAsia="仿宋" w:cstheme="minorBidi"/>
          <w:color w:val="auto"/>
          <w:kern w:val="0"/>
          <w:sz w:val="28"/>
          <w:szCs w:val="28"/>
          <w:lang w:val="en-US" w:eastAsia="zh-CN" w:bidi="ar"/>
        </w:rPr>
      </w:pPr>
      <w:r>
        <w:rPr>
          <w:rFonts w:hint="eastAsia" w:ascii="Times New Roman" w:hAnsi="Times New Roman" w:cstheme="minorBidi"/>
          <w:color w:val="auto"/>
          <w:kern w:val="0"/>
          <w:sz w:val="28"/>
          <w:szCs w:val="28"/>
          <w:lang w:val="en-US" w:eastAsia="zh-CN" w:bidi="ar"/>
        </w:rPr>
        <w:t>（3）</w:t>
      </w:r>
      <w:r>
        <w:rPr>
          <w:rFonts w:hint="default" w:ascii="Times New Roman" w:hAnsi="Times New Roman" w:eastAsia="仿宋" w:cstheme="minorBidi"/>
          <w:color w:val="auto"/>
          <w:kern w:val="0"/>
          <w:sz w:val="28"/>
          <w:szCs w:val="28"/>
          <w:lang w:val="en-US" w:eastAsia="zh-CN" w:bidi="ar"/>
        </w:rPr>
        <w:t>操作区、作业区设置醒目的安全警示标志。</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r>
        <w:rPr>
          <w:rFonts w:hint="eastAsia" w:ascii="Times New Roman" w:hAnsi="Times New Roman" w:cs="Times New Roman"/>
          <w:bCs w:val="0"/>
          <w:color w:val="auto"/>
          <w:kern w:val="2"/>
          <w:sz w:val="28"/>
          <w:szCs w:val="24"/>
          <w:lang w:val="en-US" w:eastAsia="zh-CN" w:bidi="ar-SA"/>
        </w:rPr>
        <w:t>3.5</w:t>
      </w:r>
      <w:r>
        <w:rPr>
          <w:rFonts w:hint="default" w:ascii="Times New Roman" w:hAnsi="Times New Roman" w:eastAsia="仿宋" w:cs="Times New Roman"/>
          <w:bCs w:val="0"/>
          <w:color w:val="auto"/>
          <w:kern w:val="2"/>
          <w:sz w:val="28"/>
          <w:szCs w:val="24"/>
          <w:lang w:eastAsia="zh-CN" w:bidi="ar-SA"/>
        </w:rPr>
        <w:t>.2</w:t>
      </w:r>
      <w:r>
        <w:rPr>
          <w:rFonts w:hint="eastAsia"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eastAsia="zh-CN" w:bidi="ar-SA"/>
        </w:rPr>
        <w:t>风险源管理</w:t>
      </w:r>
      <w:bookmarkEnd w:id="158"/>
      <w:bookmarkEnd w:id="159"/>
      <w:bookmarkEnd w:id="160"/>
      <w:bookmarkEnd w:id="161"/>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1、明确环保职责，制定环境保护责任制及各项环境管理制度，并严格执行；开展污染源调查，对可能发生污染的部位进行调查核实，制定相应的各类环境污染事故现场应急预案，定期进行培训、演练；</w:t>
      </w:r>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2、制定完善的安全管理制度</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岗位职责落实到个人，严格执行操作规程；</w:t>
      </w:r>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w:t>
      </w:r>
      <w:r>
        <w:rPr>
          <w:rFonts w:hint="default" w:ascii="Times New Roman" w:hAnsi="Times New Roman" w:eastAsia="仿宋" w:cs="Times New Roman"/>
          <w:color w:val="auto"/>
          <w:sz w:val="28"/>
          <w:szCs w:val="28"/>
          <w:lang w:val="en-US" w:eastAsia="zh-CN"/>
        </w:rPr>
        <w:t>建立各区域定期巡查制度；</w:t>
      </w:r>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4、加强日常污染源监测及污染治理设施检查，根椐监测及检查结果判断排放是否处于正常状态；</w:t>
      </w:r>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lang w:val="en-US" w:eastAsia="zh-CN" w:bidi="ar"/>
        </w:rPr>
        <w:t>5、建立相应的环境及环境次生、衍生灾害监控预报预警联动机制，实现相关灾情、险情等信息的共享；</w:t>
      </w:r>
    </w:p>
    <w:p>
      <w:pPr>
        <w:pStyle w:val="25"/>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val="en-US" w:eastAsia="zh-CN"/>
        </w:rPr>
        <w:t>6</w:t>
      </w:r>
      <w:r>
        <w:rPr>
          <w:rFonts w:hint="default" w:ascii="Times New Roman" w:hAnsi="Times New Roman" w:eastAsia="仿宋" w:cs="Times New Roman"/>
          <w:color w:val="auto"/>
          <w:sz w:val="28"/>
          <w:szCs w:val="28"/>
        </w:rPr>
        <w:t>、配备必要的应急救援物质、消防设施和防护用品，每名员工应熟练掌握各种防护用品的穿戴及灭火器材和其他应急设备的使用方法，并定期检查应急器材和防护用品情况，发现问题，及时进行整改维修；</w:t>
      </w:r>
    </w:p>
    <w:p>
      <w:pPr>
        <w:pStyle w:val="25"/>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val="en-US" w:eastAsia="zh-CN"/>
        </w:rPr>
        <w:t>7</w:t>
      </w:r>
      <w:r>
        <w:rPr>
          <w:rFonts w:hint="default" w:ascii="Times New Roman" w:hAnsi="Times New Roman" w:eastAsia="仿宋" w:cs="Times New Roman"/>
          <w:color w:val="auto"/>
          <w:sz w:val="28"/>
          <w:szCs w:val="28"/>
        </w:rPr>
        <w:t>、发现污染隐患立即采取措施进行处理，同时向</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报告，组织人员抢修，及时消除事故隐患。</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162" w:name="_Toc10790"/>
      <w:bookmarkStart w:id="163" w:name="_Toc16999"/>
      <w:bookmarkStart w:id="164" w:name="_Toc12914"/>
      <w:bookmarkStart w:id="165" w:name="_Toc9151"/>
      <w:bookmarkStart w:id="166" w:name="_Toc467853103"/>
      <w:r>
        <w:rPr>
          <w:rFonts w:hint="eastAsia" w:ascii="Times New Roman" w:hAnsi="Times New Roman" w:cs="Times New Roman"/>
          <w:bCs w:val="0"/>
          <w:color w:val="auto"/>
          <w:kern w:val="2"/>
          <w:sz w:val="28"/>
          <w:szCs w:val="24"/>
          <w:lang w:val="en-US" w:eastAsia="zh-CN" w:bidi="ar-SA"/>
        </w:rPr>
        <w:t>3.5</w:t>
      </w:r>
      <w:r>
        <w:rPr>
          <w:rFonts w:hint="default" w:ascii="Times New Roman" w:hAnsi="Times New Roman" w:eastAsia="仿宋" w:cs="Times New Roman"/>
          <w:bCs w:val="0"/>
          <w:color w:val="auto"/>
          <w:kern w:val="2"/>
          <w:sz w:val="28"/>
          <w:szCs w:val="24"/>
          <w:lang w:eastAsia="zh-CN" w:bidi="ar-SA"/>
        </w:rPr>
        <w:t>.3 风险隐患排查</w:t>
      </w:r>
      <w:bookmarkEnd w:id="162"/>
      <w:bookmarkEnd w:id="163"/>
      <w:bookmarkEnd w:id="164"/>
      <w:bookmarkEnd w:id="165"/>
    </w:p>
    <w:bookmarkEnd w:id="166"/>
    <w:p>
      <w:pPr>
        <w:pStyle w:val="17"/>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sz w:val="28"/>
          <w:szCs w:val="28"/>
        </w:rPr>
        <w:t>为了减少事故的发生，</w:t>
      </w:r>
      <w:r>
        <w:rPr>
          <w:rFonts w:hint="default" w:ascii="Times New Roman" w:hAnsi="Times New Roman" w:eastAsia="仿宋" w:cs="Times New Roman"/>
          <w:color w:val="auto"/>
          <w:sz w:val="28"/>
          <w:szCs w:val="28"/>
          <w:lang w:eastAsia="zh-CN"/>
        </w:rPr>
        <w:t>消除</w:t>
      </w:r>
      <w:r>
        <w:rPr>
          <w:rFonts w:hint="default" w:ascii="Times New Roman" w:hAnsi="Times New Roman" w:eastAsia="仿宋" w:cs="Times New Roman"/>
          <w:color w:val="auto"/>
          <w:sz w:val="28"/>
          <w:szCs w:val="28"/>
        </w:rPr>
        <w:t>运营过程中</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对环境的潜在威胁，</w:t>
      </w:r>
      <w:r>
        <w:rPr>
          <w:rFonts w:hint="default" w:ascii="Times New Roman" w:hAnsi="Times New Roman" w:eastAsia="仿宋" w:cs="Times New Roman"/>
          <w:color w:val="auto"/>
          <w:sz w:val="28"/>
          <w:szCs w:val="28"/>
          <w:lang w:eastAsia="zh-CN"/>
        </w:rPr>
        <w:t>本</w:t>
      </w:r>
      <w:r>
        <w:rPr>
          <w:rFonts w:hint="default" w:ascii="Times New Roman" w:hAnsi="Times New Roman" w:eastAsia="仿宋" w:cs="Times New Roman"/>
          <w:color w:val="auto"/>
          <w:sz w:val="28"/>
          <w:szCs w:val="28"/>
        </w:rPr>
        <w:t>公司采取监控措施对各风险隐患进行排查。</w:t>
      </w:r>
    </w:p>
    <w:p>
      <w:pPr>
        <w:pStyle w:val="17"/>
        <w:keepNext w:val="0"/>
        <w:keepLines w:val="0"/>
        <w:widowControl w:val="0"/>
        <w:suppressLineNumbers w:val="0"/>
        <w:topLinePunct/>
        <w:autoSpaceDE/>
        <w:autoSpaceDN w:val="0"/>
        <w:spacing w:before="0" w:beforeAutospacing="0" w:after="0" w:afterAutospacing="0" w:line="360" w:lineRule="auto"/>
        <w:ind w:left="0" w:right="0" w:firstLine="560" w:firstLineChars="200"/>
        <w:jc w:val="both"/>
        <w:rPr>
          <w:rFonts w:hint="default" w:ascii="Times New Roman" w:hAnsi="Times New Roman" w:eastAsia="仿宋" w:cs="Times New Roman"/>
          <w:color w:val="auto"/>
          <w:sz w:val="28"/>
          <w:szCs w:val="28"/>
          <w:highlight w:val="none"/>
          <w:lang w:val="en-US"/>
        </w:rPr>
      </w:pPr>
      <w:r>
        <w:rPr>
          <w:rFonts w:hint="default" w:ascii="Times New Roman" w:hAnsi="Times New Roman" w:eastAsia="仿宋" w:cs="Times New Roman"/>
          <w:color w:val="auto"/>
          <w:kern w:val="0"/>
          <w:sz w:val="28"/>
          <w:szCs w:val="28"/>
          <w:lang w:val="en-US" w:eastAsia="zh-CN" w:bidi="ar"/>
        </w:rPr>
        <w:t>（1）人工监控。设置安全巡检小组，安排固定人员定时</w:t>
      </w:r>
      <w:r>
        <w:rPr>
          <w:rFonts w:hint="default" w:ascii="Times New Roman" w:hAnsi="Times New Roman" w:eastAsia="仿宋" w:cs="Times New Roman"/>
          <w:color w:val="auto"/>
          <w:kern w:val="0"/>
          <w:sz w:val="28"/>
          <w:szCs w:val="28"/>
          <w:highlight w:val="none"/>
          <w:lang w:val="en-US" w:eastAsia="zh-CN" w:bidi="ar"/>
        </w:rPr>
        <w:t>定点对环保设施处进行检查。</w:t>
      </w:r>
    </w:p>
    <w:p>
      <w:pPr>
        <w:pStyle w:val="17"/>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（2）视频监控。厂区各危险源处，安装视频监控装置，实施24小时监控，视频资料自动保存7天以上。</w:t>
      </w:r>
    </w:p>
    <w:p>
      <w:pPr>
        <w:pStyle w:val="17"/>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eastAsia" w:ascii="Times New Roman" w:hAnsi="Times New Roman" w:eastAsia="仿宋"/>
          <w:color w:val="auto"/>
          <w:kern w:val="0"/>
          <w:sz w:val="28"/>
          <w:szCs w:val="28"/>
          <w:lang w:eastAsia="zh-CN" w:bidi="ar"/>
        </w:rPr>
      </w:pPr>
      <w:r>
        <w:rPr>
          <w:rFonts w:hint="eastAsia" w:ascii="Times New Roman" w:hAnsi="Times New Roman" w:eastAsia="仿宋"/>
          <w:color w:val="auto"/>
          <w:kern w:val="0"/>
          <w:sz w:val="28"/>
          <w:szCs w:val="28"/>
          <w:lang w:bidi="ar"/>
        </w:rPr>
        <w:t>（3）报警装置。</w:t>
      </w:r>
      <w:r>
        <w:rPr>
          <w:rFonts w:hint="eastAsia" w:eastAsia="仿宋"/>
          <w:color w:val="auto"/>
          <w:kern w:val="0"/>
          <w:sz w:val="28"/>
          <w:szCs w:val="28"/>
          <w:lang w:eastAsia="zh-CN" w:bidi="ar"/>
        </w:rPr>
        <w:t>天然气输送管道安装</w:t>
      </w:r>
      <w:r>
        <w:rPr>
          <w:rFonts w:hint="eastAsia" w:ascii="Times New Roman" w:hAnsi="Times New Roman" w:eastAsia="仿宋"/>
          <w:color w:val="auto"/>
          <w:kern w:val="0"/>
          <w:sz w:val="28"/>
          <w:szCs w:val="28"/>
          <w:lang w:bidi="ar"/>
        </w:rPr>
        <w:t>处</w:t>
      </w:r>
      <w:r>
        <w:rPr>
          <w:rFonts w:ascii="Times New Roman" w:hAnsi="Times New Roman" w:eastAsia="仿宋"/>
          <w:color w:val="auto"/>
          <w:kern w:val="0"/>
          <w:sz w:val="28"/>
          <w:szCs w:val="28"/>
          <w:lang w:bidi="ar"/>
        </w:rPr>
        <w:t>安装</w:t>
      </w:r>
      <w:r>
        <w:rPr>
          <w:rFonts w:hint="eastAsia" w:ascii="Times New Roman" w:hAnsi="Times New Roman" w:eastAsia="仿宋"/>
          <w:color w:val="auto"/>
          <w:kern w:val="0"/>
          <w:sz w:val="28"/>
          <w:szCs w:val="28"/>
          <w:lang w:bidi="ar"/>
        </w:rPr>
        <w:t>可燃气体报警器。</w:t>
      </w:r>
    </w:p>
    <w:p>
      <w:pPr>
        <w:pStyle w:val="2"/>
        <w:rPr>
          <w:rFonts w:hint="default" w:ascii="Times New Roman" w:hAnsi="Times New Roman" w:cs="Times New Roman"/>
          <w:color w:val="auto"/>
          <w:sz w:val="30"/>
          <w:szCs w:val="30"/>
          <w:lang w:val="en-US" w:eastAsia="zh-CN"/>
        </w:rPr>
      </w:pPr>
      <w:bookmarkStart w:id="167" w:name="_Toc13050"/>
      <w:bookmarkStart w:id="168" w:name="_Toc32178"/>
      <w:r>
        <w:rPr>
          <w:rFonts w:hint="default" w:ascii="Times New Roman" w:hAnsi="Times New Roman" w:cs="Times New Roman"/>
          <w:color w:val="auto"/>
          <w:sz w:val="30"/>
          <w:szCs w:val="30"/>
          <w:lang w:val="en-US" w:eastAsia="zh-CN"/>
        </w:rPr>
        <w:t>3.</w:t>
      </w:r>
      <w:r>
        <w:rPr>
          <w:rFonts w:hint="eastAsia" w:ascii="Times New Roman" w:hAnsi="Times New Roman" w:cs="Times New Roman"/>
          <w:color w:val="auto"/>
          <w:sz w:val="30"/>
          <w:szCs w:val="30"/>
          <w:lang w:val="en-US" w:eastAsia="zh-CN"/>
        </w:rPr>
        <w:t xml:space="preserve">6 </w:t>
      </w:r>
      <w:r>
        <w:rPr>
          <w:rFonts w:hint="default" w:ascii="Times New Roman" w:hAnsi="Times New Roman" w:cs="Times New Roman"/>
          <w:color w:val="auto"/>
          <w:sz w:val="30"/>
          <w:szCs w:val="30"/>
          <w:lang w:val="en-US" w:eastAsia="zh-CN"/>
        </w:rPr>
        <w:t>现有应急</w:t>
      </w:r>
      <w:r>
        <w:rPr>
          <w:rFonts w:hint="eastAsia" w:ascii="Times New Roman" w:hAnsi="Times New Roman" w:cs="Times New Roman"/>
          <w:color w:val="auto"/>
          <w:sz w:val="30"/>
          <w:szCs w:val="30"/>
          <w:lang w:val="en-US" w:eastAsia="zh-CN"/>
        </w:rPr>
        <w:t>资源</w:t>
      </w:r>
      <w:bookmarkEnd w:id="167"/>
      <w:bookmarkEnd w:id="168"/>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69" w:name="_Toc20298"/>
      <w:r>
        <w:rPr>
          <w:rFonts w:hint="default" w:ascii="Times New Roman" w:hAnsi="Times New Roman" w:eastAsia="仿宋" w:cs="Times New Roman"/>
          <w:bCs w:val="0"/>
          <w:color w:val="auto"/>
          <w:kern w:val="2"/>
          <w:sz w:val="28"/>
          <w:szCs w:val="24"/>
          <w:lang w:val="en-US" w:eastAsia="zh-CN" w:bidi="ar-SA"/>
        </w:rPr>
        <w:t>3.</w:t>
      </w:r>
      <w:r>
        <w:rPr>
          <w:rFonts w:hint="eastAsia" w:ascii="Times New Roman" w:hAnsi="Times New Roman" w:eastAsia="仿宋" w:cs="Times New Roman"/>
          <w:bCs w:val="0"/>
          <w:color w:val="auto"/>
          <w:kern w:val="2"/>
          <w:sz w:val="28"/>
          <w:szCs w:val="24"/>
          <w:lang w:val="en-US" w:eastAsia="zh-CN" w:bidi="ar-SA"/>
        </w:rPr>
        <w:t>6</w:t>
      </w:r>
      <w:r>
        <w:rPr>
          <w:rFonts w:hint="default" w:ascii="Times New Roman" w:hAnsi="Times New Roman" w:eastAsia="仿宋" w:cs="Times New Roman"/>
          <w:bCs w:val="0"/>
          <w:color w:val="auto"/>
          <w:kern w:val="2"/>
          <w:sz w:val="28"/>
          <w:szCs w:val="24"/>
          <w:lang w:val="en-US" w:eastAsia="zh-CN" w:bidi="ar-SA"/>
        </w:rPr>
        <w:t>.1</w:t>
      </w:r>
      <w:r>
        <w:rPr>
          <w:rFonts w:hint="eastAsia" w:ascii="Times New Roman" w:hAnsi="Times New Roman"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现有应急物资</w:t>
      </w:r>
      <w:bookmarkEnd w:id="169"/>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b/>
          <w:bCs/>
          <w:color w:val="auto"/>
          <w:sz w:val="24"/>
          <w:szCs w:val="24"/>
          <w:lang w:val="en-US" w:eastAsia="zh-CN"/>
        </w:rPr>
      </w:pPr>
      <w:r>
        <w:rPr>
          <w:rFonts w:hint="default" w:ascii="Times New Roman" w:hAnsi="Times New Roman" w:cs="Times New Roman"/>
          <w:color w:val="auto"/>
          <w:lang w:val="en-US" w:eastAsia="zh-CN"/>
        </w:rPr>
        <w:t>公司现有应急物资见表</w:t>
      </w:r>
      <w:r>
        <w:rPr>
          <w:rFonts w:hint="eastAsia" w:ascii="Times New Roman" w:hAnsi="Times New Roman" w:cs="Times New Roman"/>
          <w:b/>
          <w:bCs/>
          <w:color w:val="auto"/>
          <w:sz w:val="24"/>
          <w:szCs w:val="24"/>
          <w:lang w:val="en-US" w:eastAsia="zh-CN"/>
        </w:rPr>
        <w:t>3-</w:t>
      </w:r>
      <w:r>
        <w:rPr>
          <w:rFonts w:hint="eastAsia" w:ascii="Times New Roman" w:hAnsi="Times New Roman" w:cs="Times New Roman"/>
          <w:color w:val="auto"/>
          <w:lang w:val="en-US" w:eastAsia="zh-CN"/>
        </w:rPr>
        <w:t>7</w:t>
      </w:r>
      <w:r>
        <w:rPr>
          <w:rFonts w:hint="default" w:ascii="Times New Roman" w:hAnsi="Times New Roman" w:cs="Times New Roman"/>
          <w:color w:val="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 xml:space="preserve">3-7 </w:t>
      </w:r>
      <w:r>
        <w:rPr>
          <w:rFonts w:hint="default" w:ascii="Times New Roman" w:hAnsi="Times New Roman" w:eastAsia="仿宋" w:cs="Times New Roman"/>
          <w:b/>
          <w:bCs/>
          <w:color w:val="auto"/>
          <w:sz w:val="24"/>
          <w:szCs w:val="24"/>
          <w:lang w:val="en-US" w:eastAsia="zh-CN"/>
        </w:rPr>
        <w:t xml:space="preserve"> 现有应急</w:t>
      </w:r>
      <w:r>
        <w:rPr>
          <w:rFonts w:hint="eastAsia" w:ascii="Times New Roman" w:hAnsi="Times New Roman" w:cs="Times New Roman"/>
          <w:b/>
          <w:bCs/>
          <w:color w:val="auto"/>
          <w:sz w:val="24"/>
          <w:szCs w:val="24"/>
          <w:lang w:val="en-US" w:eastAsia="zh-CN"/>
        </w:rPr>
        <w:t>物资</w:t>
      </w:r>
      <w:r>
        <w:rPr>
          <w:rFonts w:hint="default" w:ascii="Times New Roman" w:hAnsi="Times New Roman" w:eastAsia="仿宋" w:cs="Times New Roman"/>
          <w:b/>
          <w:bCs/>
          <w:color w:val="auto"/>
          <w:sz w:val="24"/>
          <w:szCs w:val="24"/>
          <w:lang w:val="en-US" w:eastAsia="zh-CN"/>
        </w:rPr>
        <w:t>统计表</w:t>
      </w:r>
    </w:p>
    <w:tbl>
      <w:tblPr>
        <w:tblStyle w:val="19"/>
        <w:tblW w:w="7950" w:type="dxa"/>
        <w:tblInd w:w="4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4"/>
        <w:gridCol w:w="3032"/>
        <w:gridCol w:w="2214"/>
        <w:gridCol w:w="17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97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序号</w:t>
            </w:r>
          </w:p>
        </w:tc>
        <w:tc>
          <w:tcPr>
            <w:tcW w:w="3032"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名称</w:t>
            </w:r>
          </w:p>
        </w:tc>
        <w:tc>
          <w:tcPr>
            <w:tcW w:w="221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单位</w:t>
            </w:r>
          </w:p>
        </w:tc>
        <w:tc>
          <w:tcPr>
            <w:tcW w:w="1730"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97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1</w:t>
            </w:r>
          </w:p>
        </w:tc>
        <w:tc>
          <w:tcPr>
            <w:tcW w:w="3032"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灭火器</w:t>
            </w:r>
          </w:p>
        </w:tc>
        <w:tc>
          <w:tcPr>
            <w:tcW w:w="221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个</w:t>
            </w:r>
          </w:p>
        </w:tc>
        <w:tc>
          <w:tcPr>
            <w:tcW w:w="1730"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97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2</w:t>
            </w:r>
          </w:p>
        </w:tc>
        <w:tc>
          <w:tcPr>
            <w:tcW w:w="3032"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消防沙</w:t>
            </w:r>
          </w:p>
        </w:tc>
        <w:tc>
          <w:tcPr>
            <w:tcW w:w="221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吨</w:t>
            </w:r>
          </w:p>
        </w:tc>
        <w:tc>
          <w:tcPr>
            <w:tcW w:w="1730"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974" w:type="dxa"/>
            <w:noWrap w:val="0"/>
            <w:vAlign w:val="center"/>
          </w:tcPr>
          <w:p>
            <w:pPr>
              <w:pStyle w:val="18"/>
              <w:ind w:left="0" w:leftChars="0" w:firstLine="240" w:firstLineChars="100"/>
              <w:jc w:val="both"/>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3</w:t>
            </w:r>
          </w:p>
        </w:tc>
        <w:tc>
          <w:tcPr>
            <w:tcW w:w="3032"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铁铲</w:t>
            </w:r>
          </w:p>
        </w:tc>
        <w:tc>
          <w:tcPr>
            <w:tcW w:w="221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把</w:t>
            </w:r>
          </w:p>
        </w:tc>
        <w:tc>
          <w:tcPr>
            <w:tcW w:w="1730"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97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Times New Roman" w:hAnsi="Times New Roman" w:eastAsia="仿宋" w:cs="Times New Roman"/>
                <w:b w:val="0"/>
                <w:bCs w:val="0"/>
                <w:color w:val="auto"/>
                <w:kern w:val="0"/>
                <w:sz w:val="24"/>
                <w:szCs w:val="20"/>
                <w:lang w:val="en-US" w:eastAsia="zh-CN" w:bidi="ar"/>
              </w:rPr>
              <w:t>4</w:t>
            </w:r>
          </w:p>
        </w:tc>
        <w:tc>
          <w:tcPr>
            <w:tcW w:w="3032"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消防水池</w:t>
            </w:r>
          </w:p>
        </w:tc>
        <w:tc>
          <w:tcPr>
            <w:tcW w:w="2214"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个</w:t>
            </w:r>
          </w:p>
        </w:tc>
        <w:tc>
          <w:tcPr>
            <w:tcW w:w="1730" w:type="dxa"/>
            <w:noWrap w:val="0"/>
            <w:vAlign w:val="center"/>
          </w:tcPr>
          <w:p>
            <w:pPr>
              <w:pStyle w:val="18"/>
              <w:ind w:firstLine="0" w:firstLineChars="0"/>
              <w:jc w:val="center"/>
              <w:rPr>
                <w:rFonts w:hint="eastAsia" w:ascii="Times New Roman" w:hAnsi="Times New Roman" w:eastAsia="仿宋" w:cs="Times New Roman"/>
                <w:b w:val="0"/>
                <w:bCs w:val="0"/>
                <w:color w:val="auto"/>
                <w:kern w:val="0"/>
                <w:sz w:val="24"/>
                <w:szCs w:val="20"/>
                <w:lang w:val="en-US" w:eastAsia="zh-CN" w:bidi="ar"/>
              </w:rPr>
            </w:pPr>
            <w:r>
              <w:rPr>
                <w:rFonts w:hint="eastAsia" w:ascii="仿宋" w:hAnsi="仿宋" w:eastAsia="仿宋" w:cs="仿宋"/>
                <w:color w:val="auto"/>
                <w:szCs w:val="24"/>
              </w:rPr>
              <w:t>1</w:t>
            </w:r>
          </w:p>
        </w:tc>
      </w:tr>
    </w:tbl>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outlineLvl w:val="9"/>
        <w:rPr>
          <w:rFonts w:hint="default" w:ascii="Times New Roman" w:hAnsi="Times New Roman" w:eastAsia="仿宋" w:cs="Times New Roman"/>
          <w:b/>
          <w:bCs/>
          <w:color w:val="auto"/>
          <w:sz w:val="24"/>
          <w:szCs w:val="24"/>
          <w:lang w:val="en-US" w:eastAsia="zh-CN"/>
        </w:rPr>
      </w:pP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170" w:name="_Toc15215"/>
      <w:r>
        <w:rPr>
          <w:rFonts w:hint="default" w:ascii="Times New Roman" w:hAnsi="Times New Roman" w:eastAsia="仿宋" w:cs="Times New Roman"/>
          <w:bCs w:val="0"/>
          <w:color w:val="auto"/>
          <w:kern w:val="2"/>
          <w:sz w:val="28"/>
          <w:szCs w:val="24"/>
          <w:lang w:val="en-US" w:eastAsia="zh-CN" w:bidi="ar-SA"/>
        </w:rPr>
        <w:t>3.</w:t>
      </w:r>
      <w:r>
        <w:rPr>
          <w:rFonts w:hint="eastAsia" w:ascii="Times New Roman" w:hAnsi="Times New Roman" w:eastAsia="仿宋" w:cs="Times New Roman"/>
          <w:bCs w:val="0"/>
          <w:color w:val="auto"/>
          <w:kern w:val="2"/>
          <w:sz w:val="28"/>
          <w:szCs w:val="24"/>
          <w:lang w:val="en-US" w:eastAsia="zh-CN" w:bidi="ar-SA"/>
        </w:rPr>
        <w:t>6</w:t>
      </w:r>
      <w:r>
        <w:rPr>
          <w:rFonts w:hint="default" w:ascii="Times New Roman" w:hAnsi="Times New Roman" w:eastAsia="仿宋" w:cs="Times New Roman"/>
          <w:bCs w:val="0"/>
          <w:color w:val="auto"/>
          <w:kern w:val="2"/>
          <w:sz w:val="28"/>
          <w:szCs w:val="24"/>
          <w:lang w:val="en-US" w:eastAsia="zh-CN" w:bidi="ar-SA"/>
        </w:rPr>
        <w:t>.2</w:t>
      </w:r>
      <w:r>
        <w:rPr>
          <w:rFonts w:hint="eastAsia" w:ascii="Times New Roman" w:hAnsi="Times New Roman"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救援队伍情况</w:t>
      </w:r>
      <w:bookmarkEnd w:id="170"/>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b/>
          <w:bCs/>
          <w:color w:val="auto"/>
          <w:sz w:val="24"/>
          <w:szCs w:val="24"/>
          <w:highlight w:val="none"/>
          <w:lang w:val="en-US" w:eastAsia="zh-CN"/>
        </w:rPr>
      </w:pPr>
      <w:r>
        <w:rPr>
          <w:rFonts w:hint="default" w:ascii="Times New Roman" w:hAnsi="Times New Roman" w:eastAsia="仿宋" w:cs="Times New Roman"/>
          <w:color w:val="auto"/>
          <w:sz w:val="28"/>
          <w:szCs w:val="28"/>
        </w:rPr>
        <w:t>为防范和处置突发环境事件，确保有组织、有计划、快速地应对突发环境事件，及时组织抢险和救援，本公司成立突发环境事件应急指挥部，并明确应急组织机构各成员的职责，应急组织的建立必须遵循应急机构人员职能不交叉的原则。发生突发环境事件时，在应急指挥部的统一指挥下，快速、有序、有效地开展应急救援行动，使事件的危害降到最低。</w:t>
      </w:r>
      <w:r>
        <w:rPr>
          <w:rFonts w:hint="default" w:ascii="Times New Roman" w:hAnsi="Times New Roman" w:cs="Times New Roman"/>
          <w:color w:val="auto"/>
          <w:lang w:val="en-US" w:eastAsia="zh-CN"/>
        </w:rPr>
        <w:t>内外部联系人情况分别见表</w:t>
      </w:r>
      <w:r>
        <w:rPr>
          <w:rFonts w:hint="eastAsia" w:ascii="Times New Roman" w:hAnsi="Times New Roman" w:cs="Times New Roman"/>
          <w:b w:val="0"/>
          <w:bCs w:val="0"/>
          <w:color w:val="auto"/>
          <w:sz w:val="24"/>
          <w:szCs w:val="24"/>
          <w:lang w:val="en-US" w:eastAsia="zh-CN"/>
        </w:rPr>
        <w:t>3-8</w:t>
      </w:r>
      <w:r>
        <w:rPr>
          <w:rFonts w:hint="default" w:ascii="Times New Roman" w:hAnsi="Times New Roman" w:cs="Times New Roman"/>
          <w:b w:val="0"/>
          <w:bCs w:val="0"/>
          <w:color w:val="auto"/>
          <w:sz w:val="24"/>
          <w:szCs w:val="24"/>
          <w:lang w:val="en-US" w:eastAsia="zh-CN"/>
        </w:rPr>
        <w:t>和</w:t>
      </w:r>
      <w:r>
        <w:rPr>
          <w:rFonts w:hint="eastAsia" w:ascii="Times New Roman" w:hAnsi="Times New Roman" w:cs="Times New Roman"/>
          <w:b w:val="0"/>
          <w:bCs w:val="0"/>
          <w:color w:val="auto"/>
          <w:sz w:val="24"/>
          <w:szCs w:val="24"/>
          <w:lang w:val="en-US" w:eastAsia="zh-CN"/>
        </w:rPr>
        <w:t>3-9</w:t>
      </w:r>
      <w:r>
        <w:rPr>
          <w:rFonts w:hint="default" w:ascii="Times New Roman" w:hAnsi="Times New Roman" w:cs="Times New Roman"/>
          <w:b w:val="0"/>
          <w:bCs w:val="0"/>
          <w:color w:val="auto"/>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bCs/>
          <w:color w:val="auto"/>
          <w:sz w:val="24"/>
          <w:szCs w:val="24"/>
          <w:highlight w:val="none"/>
          <w:lang w:val="en-US" w:eastAsia="zh-CN"/>
        </w:rPr>
      </w:pPr>
      <w:r>
        <w:rPr>
          <w:rFonts w:hint="default" w:ascii="Times New Roman" w:hAnsi="Times New Roman" w:cs="Times New Roman"/>
          <w:b/>
          <w:bCs/>
          <w:color w:val="auto"/>
          <w:sz w:val="24"/>
          <w:szCs w:val="24"/>
          <w:highlight w:val="none"/>
          <w:lang w:val="en-US" w:eastAsia="zh-CN"/>
        </w:rPr>
        <w:t>表</w:t>
      </w:r>
      <w:r>
        <w:rPr>
          <w:rFonts w:hint="eastAsia" w:ascii="Times New Roman" w:hAnsi="Times New Roman" w:cs="Times New Roman"/>
          <w:b/>
          <w:bCs/>
          <w:color w:val="auto"/>
          <w:sz w:val="24"/>
          <w:szCs w:val="24"/>
          <w:lang w:val="en-US" w:eastAsia="zh-CN"/>
        </w:rPr>
        <w:t>3-</w:t>
      </w:r>
      <w:r>
        <w:rPr>
          <w:rFonts w:hint="eastAsia" w:ascii="Times New Roman" w:hAnsi="Times New Roman" w:cs="Times New Roman"/>
          <w:b/>
          <w:bCs/>
          <w:color w:val="auto"/>
          <w:sz w:val="24"/>
          <w:szCs w:val="24"/>
          <w:highlight w:val="none"/>
          <w:lang w:val="en-US" w:eastAsia="zh-CN"/>
        </w:rPr>
        <w:t>8</w:t>
      </w:r>
      <w:r>
        <w:rPr>
          <w:rFonts w:hint="default" w:ascii="Times New Roman" w:hAnsi="Times New Roman" w:cs="Times New Roman"/>
          <w:b/>
          <w:bCs/>
          <w:color w:val="auto"/>
          <w:sz w:val="24"/>
          <w:szCs w:val="24"/>
          <w:highlight w:val="none"/>
          <w:lang w:val="en-US" w:eastAsia="zh-CN"/>
        </w:rPr>
        <w:t xml:space="preserve"> </w:t>
      </w:r>
      <w:r>
        <w:rPr>
          <w:rFonts w:hint="eastAsia" w:ascii="Times New Roman" w:hAnsi="Times New Roman" w:cs="Times New Roman"/>
          <w:b/>
          <w:bCs/>
          <w:color w:val="auto"/>
          <w:sz w:val="24"/>
          <w:szCs w:val="24"/>
          <w:highlight w:val="none"/>
          <w:lang w:val="en-US" w:eastAsia="zh-CN"/>
        </w:rPr>
        <w:t xml:space="preserve"> </w:t>
      </w:r>
      <w:r>
        <w:rPr>
          <w:rFonts w:hint="default" w:ascii="Times New Roman" w:hAnsi="Times New Roman" w:cs="Times New Roman"/>
          <w:b/>
          <w:bCs/>
          <w:color w:val="auto"/>
          <w:sz w:val="24"/>
          <w:szCs w:val="24"/>
          <w:highlight w:val="none"/>
          <w:lang w:val="en-US" w:eastAsia="zh-CN"/>
        </w:rPr>
        <w:t>应急救援人员联系方式</w:t>
      </w:r>
    </w:p>
    <w:tbl>
      <w:tblPr>
        <w:tblStyle w:val="19"/>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9"/>
        <w:gridCol w:w="1385"/>
        <w:gridCol w:w="1790"/>
        <w:gridCol w:w="2175"/>
        <w:gridCol w:w="1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b/>
                <w:bCs/>
              </w:rPr>
            </w:pPr>
            <w:r>
              <w:rPr>
                <w:rFonts w:hint="eastAsia" w:eastAsia="仿宋"/>
                <w:b/>
                <w:bCs/>
              </w:rPr>
              <w:t>机构</w:t>
            </w:r>
          </w:p>
        </w:tc>
        <w:tc>
          <w:tcPr>
            <w:tcW w:w="1385" w:type="dxa"/>
            <w:noWrap/>
            <w:vAlign w:val="center"/>
          </w:tcPr>
          <w:p>
            <w:pPr>
              <w:pStyle w:val="26"/>
              <w:topLinePunct/>
              <w:adjustRightInd w:val="0"/>
              <w:snapToGrid w:val="0"/>
              <w:jc w:val="center"/>
              <w:rPr>
                <w:rFonts w:eastAsia="仿宋"/>
                <w:b/>
                <w:bCs/>
              </w:rPr>
            </w:pPr>
            <w:r>
              <w:rPr>
                <w:rFonts w:hint="eastAsia" w:eastAsia="仿宋"/>
                <w:b/>
                <w:bCs/>
              </w:rPr>
              <w:t>姓名</w:t>
            </w:r>
          </w:p>
        </w:tc>
        <w:tc>
          <w:tcPr>
            <w:tcW w:w="1790" w:type="dxa"/>
            <w:noWrap/>
            <w:vAlign w:val="center"/>
          </w:tcPr>
          <w:p>
            <w:pPr>
              <w:pStyle w:val="26"/>
              <w:topLinePunct/>
              <w:adjustRightInd w:val="0"/>
              <w:snapToGrid w:val="0"/>
              <w:jc w:val="center"/>
              <w:rPr>
                <w:rFonts w:eastAsia="仿宋"/>
                <w:b/>
                <w:bCs/>
              </w:rPr>
            </w:pPr>
            <w:r>
              <w:rPr>
                <w:rFonts w:hint="eastAsia" w:eastAsia="仿宋"/>
                <w:b/>
                <w:bCs/>
              </w:rPr>
              <w:t>职责</w:t>
            </w:r>
          </w:p>
        </w:tc>
        <w:tc>
          <w:tcPr>
            <w:tcW w:w="2175" w:type="dxa"/>
            <w:noWrap/>
            <w:vAlign w:val="center"/>
          </w:tcPr>
          <w:p>
            <w:pPr>
              <w:pStyle w:val="26"/>
              <w:topLinePunct/>
              <w:adjustRightInd w:val="0"/>
              <w:snapToGrid w:val="0"/>
              <w:jc w:val="center"/>
              <w:rPr>
                <w:rFonts w:eastAsia="仿宋"/>
                <w:b/>
                <w:bCs/>
              </w:rPr>
            </w:pPr>
            <w:r>
              <w:rPr>
                <w:rFonts w:hint="eastAsia" w:eastAsia="仿宋"/>
                <w:b/>
                <w:bCs/>
              </w:rPr>
              <w:t>联系方式</w:t>
            </w:r>
          </w:p>
        </w:tc>
        <w:tc>
          <w:tcPr>
            <w:tcW w:w="1553" w:type="dxa"/>
            <w:noWrap/>
            <w:vAlign w:val="center"/>
          </w:tcPr>
          <w:p>
            <w:pPr>
              <w:pStyle w:val="26"/>
              <w:topLinePunct/>
              <w:adjustRightInd w:val="0"/>
              <w:snapToGrid w:val="0"/>
              <w:jc w:val="center"/>
              <w:rPr>
                <w:rFonts w:eastAsia="仿宋"/>
                <w:b/>
                <w:bCs/>
              </w:rPr>
            </w:pPr>
            <w:r>
              <w:rPr>
                <w:rFonts w:hint="eastAsia" w:eastAsia="仿宋"/>
                <w:b/>
                <w:bCs/>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26"/>
              <w:topLinePunct/>
              <w:adjustRightInd w:val="0"/>
              <w:snapToGrid w:val="0"/>
              <w:jc w:val="center"/>
              <w:rPr>
                <w:rFonts w:eastAsia="仿宋"/>
              </w:rPr>
            </w:pPr>
            <w:r>
              <w:rPr>
                <w:rFonts w:hint="eastAsia" w:eastAsia="仿宋"/>
              </w:rPr>
              <w:t>应急救援指挥部</w:t>
            </w:r>
          </w:p>
        </w:tc>
        <w:tc>
          <w:tcPr>
            <w:tcW w:w="1385" w:type="dxa"/>
            <w:noWrap/>
            <w:vAlign w:val="center"/>
          </w:tcPr>
          <w:p>
            <w:pPr>
              <w:pStyle w:val="26"/>
              <w:topLinePunct/>
              <w:adjustRightInd w:val="0"/>
              <w:snapToGrid w:val="0"/>
              <w:jc w:val="center"/>
              <w:rPr>
                <w:rFonts w:eastAsia="仿宋"/>
              </w:rPr>
            </w:pPr>
            <w:r>
              <w:rPr>
                <w:rFonts w:hint="eastAsia" w:eastAsia="仿宋"/>
              </w:rPr>
              <w:t>潘建新</w:t>
            </w:r>
          </w:p>
        </w:tc>
        <w:tc>
          <w:tcPr>
            <w:tcW w:w="1790" w:type="dxa"/>
            <w:noWrap/>
            <w:vAlign w:val="center"/>
          </w:tcPr>
          <w:p>
            <w:pPr>
              <w:pStyle w:val="26"/>
              <w:topLinePunct/>
              <w:adjustRightInd w:val="0"/>
              <w:snapToGrid w:val="0"/>
              <w:jc w:val="center"/>
              <w:rPr>
                <w:rFonts w:eastAsia="仿宋"/>
              </w:rPr>
            </w:pPr>
            <w:r>
              <w:rPr>
                <w:rFonts w:hint="eastAsia" w:eastAsia="仿宋"/>
              </w:rPr>
              <w:t>总指挥</w:t>
            </w:r>
          </w:p>
        </w:tc>
        <w:tc>
          <w:tcPr>
            <w:tcW w:w="2175" w:type="dxa"/>
            <w:noWrap/>
            <w:vAlign w:val="center"/>
          </w:tcPr>
          <w:p>
            <w:pPr>
              <w:pStyle w:val="26"/>
              <w:topLinePunct/>
              <w:adjustRightInd w:val="0"/>
              <w:snapToGrid w:val="0"/>
              <w:jc w:val="center"/>
              <w:rPr>
                <w:rFonts w:eastAsia="仿宋"/>
              </w:rPr>
            </w:pPr>
            <w:r>
              <w:rPr>
                <w:rFonts w:hint="eastAsia" w:eastAsia="仿宋"/>
              </w:rPr>
              <w:t>029-85560385</w:t>
            </w:r>
          </w:p>
        </w:tc>
        <w:tc>
          <w:tcPr>
            <w:tcW w:w="1553" w:type="dxa"/>
            <w:noWrap/>
            <w:vAlign w:val="center"/>
          </w:tcPr>
          <w:p>
            <w:pPr>
              <w:pStyle w:val="26"/>
              <w:topLinePunct/>
              <w:adjustRightInd w:val="0"/>
              <w:snapToGrid w:val="0"/>
              <w:jc w:val="center"/>
              <w:rPr>
                <w:rFonts w:eastAsia="仿宋"/>
              </w:rPr>
            </w:pPr>
            <w:r>
              <w:rPr>
                <w:rFonts w:hint="eastAsia" w:eastAsia="仿宋"/>
              </w:rPr>
              <w:t>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eastAsia="仿宋"/>
              </w:rPr>
            </w:pPr>
            <w:r>
              <w:rPr>
                <w:rFonts w:hint="eastAsia" w:eastAsia="仿宋"/>
              </w:rPr>
              <w:t>潘志敏</w:t>
            </w:r>
          </w:p>
        </w:tc>
        <w:tc>
          <w:tcPr>
            <w:tcW w:w="1790" w:type="dxa"/>
            <w:noWrap/>
            <w:vAlign w:val="center"/>
          </w:tcPr>
          <w:p>
            <w:pPr>
              <w:pStyle w:val="26"/>
              <w:topLinePunct/>
              <w:adjustRightInd w:val="0"/>
              <w:snapToGrid w:val="0"/>
              <w:jc w:val="center"/>
              <w:rPr>
                <w:rFonts w:eastAsia="仿宋"/>
              </w:rPr>
            </w:pPr>
            <w:r>
              <w:rPr>
                <w:rFonts w:hint="eastAsia" w:eastAsia="仿宋"/>
              </w:rPr>
              <w:t>副总指挥</w:t>
            </w:r>
          </w:p>
        </w:tc>
        <w:tc>
          <w:tcPr>
            <w:tcW w:w="2175" w:type="dxa"/>
            <w:noWrap/>
            <w:vAlign w:val="center"/>
          </w:tcPr>
          <w:p>
            <w:pPr>
              <w:pStyle w:val="26"/>
              <w:topLinePunct/>
              <w:adjustRightInd w:val="0"/>
              <w:snapToGrid w:val="0"/>
              <w:jc w:val="center"/>
              <w:rPr>
                <w:rFonts w:eastAsia="仿宋"/>
              </w:rPr>
            </w:pPr>
            <w:r>
              <w:rPr>
                <w:rFonts w:hint="eastAsia" w:eastAsia="仿宋"/>
              </w:rPr>
              <w:t>13609215735</w:t>
            </w:r>
          </w:p>
        </w:tc>
        <w:tc>
          <w:tcPr>
            <w:tcW w:w="1553" w:type="dxa"/>
            <w:noWrap/>
            <w:vAlign w:val="center"/>
          </w:tcPr>
          <w:p>
            <w:pPr>
              <w:pStyle w:val="26"/>
              <w:topLinePunct/>
              <w:adjustRightInd w:val="0"/>
              <w:snapToGrid w:val="0"/>
              <w:jc w:val="center"/>
              <w:rPr>
                <w:rFonts w:eastAsia="仿宋"/>
              </w:rPr>
            </w:pPr>
            <w:r>
              <w:rPr>
                <w:rFonts w:hint="eastAsia" w:eastAsia="仿宋"/>
              </w:rPr>
              <w:t>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应急办公室</w:t>
            </w:r>
          </w:p>
        </w:tc>
        <w:tc>
          <w:tcPr>
            <w:tcW w:w="1385" w:type="dxa"/>
            <w:noWrap/>
            <w:vAlign w:val="center"/>
          </w:tcPr>
          <w:p>
            <w:pPr>
              <w:pStyle w:val="26"/>
              <w:topLinePunct/>
              <w:adjustRightInd w:val="0"/>
              <w:snapToGrid w:val="0"/>
              <w:jc w:val="center"/>
              <w:rPr>
                <w:rFonts w:eastAsia="仿宋"/>
              </w:rPr>
            </w:pPr>
            <w:r>
              <w:rPr>
                <w:rFonts w:hint="eastAsia" w:eastAsia="仿宋"/>
              </w:rPr>
              <w:t>刘纪</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15336107281</w:t>
            </w:r>
          </w:p>
        </w:tc>
        <w:tc>
          <w:tcPr>
            <w:tcW w:w="1553" w:type="dxa"/>
            <w:noWrap/>
            <w:vAlign w:val="center"/>
          </w:tcPr>
          <w:p>
            <w:pPr>
              <w:pStyle w:val="26"/>
              <w:topLinePunct/>
              <w:adjustRightInd w:val="0"/>
              <w:snapToGrid w:val="0"/>
              <w:jc w:val="center"/>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26"/>
              <w:topLinePunct/>
              <w:adjustRightInd w:val="0"/>
              <w:snapToGrid w:val="0"/>
              <w:jc w:val="center"/>
              <w:rPr>
                <w:rFonts w:eastAsia="仿宋"/>
              </w:rPr>
            </w:pPr>
            <w:r>
              <w:rPr>
                <w:rFonts w:hint="eastAsia" w:eastAsia="仿宋"/>
              </w:rPr>
              <w:t>事故救援组</w:t>
            </w:r>
          </w:p>
        </w:tc>
        <w:tc>
          <w:tcPr>
            <w:tcW w:w="1385" w:type="dxa"/>
            <w:noWrap/>
            <w:vAlign w:val="center"/>
          </w:tcPr>
          <w:p>
            <w:pPr>
              <w:pStyle w:val="26"/>
              <w:topLinePunct/>
              <w:adjustRightInd w:val="0"/>
              <w:snapToGrid w:val="0"/>
              <w:jc w:val="center"/>
              <w:rPr>
                <w:rFonts w:eastAsia="仿宋"/>
              </w:rPr>
            </w:pPr>
            <w:r>
              <w:rPr>
                <w:rFonts w:hint="eastAsia" w:eastAsia="仿宋"/>
              </w:rPr>
              <w:t>肖东亮</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18629553287</w:t>
            </w:r>
          </w:p>
        </w:tc>
        <w:tc>
          <w:tcPr>
            <w:tcW w:w="1553" w:type="dxa"/>
            <w:noWrap/>
            <w:vAlign w:val="center"/>
          </w:tcPr>
          <w:p>
            <w:pPr>
              <w:pStyle w:val="26"/>
              <w:topLinePunct/>
              <w:adjustRightInd w:val="0"/>
              <w:snapToGrid w:val="0"/>
              <w:jc w:val="center"/>
              <w:rPr>
                <w:rFonts w:eastAsia="仿宋"/>
              </w:rPr>
            </w:pPr>
            <w:r>
              <w:rPr>
                <w:rFonts w:hint="eastAsia" w:eastAsia="仿宋"/>
              </w:rPr>
              <w:t>车间主任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李晓铁</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18291078252</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王群</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18082599745</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姜永</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15332298275</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豆旭林</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17730661940</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通讯联络组</w:t>
            </w:r>
          </w:p>
        </w:tc>
        <w:tc>
          <w:tcPr>
            <w:tcW w:w="1385" w:type="dxa"/>
            <w:noWrap/>
            <w:vAlign w:val="center"/>
          </w:tcPr>
          <w:p>
            <w:pPr>
              <w:pStyle w:val="26"/>
              <w:topLinePunct/>
              <w:adjustRightInd w:val="0"/>
              <w:snapToGrid w:val="0"/>
              <w:jc w:val="center"/>
              <w:rPr>
                <w:rFonts w:eastAsia="仿宋"/>
              </w:rPr>
            </w:pPr>
            <w:r>
              <w:rPr>
                <w:rFonts w:hint="eastAsia" w:eastAsia="仿宋"/>
              </w:rPr>
              <w:t>刘纪</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15336107281</w:t>
            </w:r>
          </w:p>
        </w:tc>
        <w:tc>
          <w:tcPr>
            <w:tcW w:w="1553" w:type="dxa"/>
            <w:noWrap/>
            <w:vAlign w:val="center"/>
          </w:tcPr>
          <w:p>
            <w:pPr>
              <w:pStyle w:val="26"/>
              <w:topLinePunct/>
              <w:adjustRightInd w:val="0"/>
              <w:snapToGrid w:val="0"/>
              <w:jc w:val="center"/>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警戒疏散组</w:t>
            </w: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rPr>
              <w:t>刘</w:t>
            </w:r>
            <w:r>
              <w:rPr>
                <w:rFonts w:hint="eastAsia" w:eastAsia="仿宋"/>
                <w:lang w:eastAsia="zh-CN"/>
              </w:rPr>
              <w:t>二继</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18082249757</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物资供应组</w:t>
            </w: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李保忠</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15686910840</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bl>
    <w:p>
      <w:pPr>
        <w:spacing w:line="240" w:lineRule="auto"/>
        <w:jc w:val="center"/>
        <w:rPr>
          <w:rFonts w:hint="default"/>
          <w:color w:val="auto"/>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 xml:space="preserve">3-9 </w:t>
      </w:r>
      <w:r>
        <w:rPr>
          <w:rFonts w:hint="default" w:ascii="Times New Roman" w:hAnsi="Times New Roman" w:cs="Times New Roman"/>
          <w:b/>
          <w:bCs/>
          <w:color w:val="auto"/>
          <w:sz w:val="24"/>
          <w:szCs w:val="24"/>
          <w:lang w:val="en-US" w:eastAsia="zh-CN"/>
        </w:rPr>
        <w:t xml:space="preserve"> 外部救援单位联系方式汇总</w:t>
      </w:r>
    </w:p>
    <w:tbl>
      <w:tblPr>
        <w:tblStyle w:val="19"/>
        <w:tblpPr w:leftFromText="180" w:rightFromText="180" w:vertAnchor="text" w:horzAnchor="page" w:tblpX="1914" w:tblpY="10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5"/>
        <w:gridCol w:w="4235"/>
        <w:gridCol w:w="31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1165" w:type="dxa"/>
            <w:tcBorders>
              <w:top w:val="single" w:color="auto" w:sz="12" w:space="0"/>
              <w:left w:val="single" w:color="auto" w:sz="12" w:space="0"/>
              <w:bottom w:val="single" w:color="auto" w:sz="4" w:space="0"/>
              <w:right w:val="single" w:color="auto" w:sz="4"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序号</w:t>
            </w:r>
          </w:p>
        </w:tc>
        <w:tc>
          <w:tcPr>
            <w:tcW w:w="4235" w:type="dxa"/>
            <w:tcBorders>
              <w:top w:val="single" w:color="auto" w:sz="12" w:space="0"/>
              <w:left w:val="single" w:color="auto" w:sz="4" w:space="0"/>
              <w:bottom w:val="single" w:color="auto" w:sz="4" w:space="0"/>
              <w:right w:val="single" w:color="auto" w:sz="4"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部门</w:t>
            </w:r>
          </w:p>
        </w:tc>
        <w:tc>
          <w:tcPr>
            <w:tcW w:w="3122" w:type="dxa"/>
            <w:tcBorders>
              <w:top w:val="single" w:color="auto" w:sz="12" w:space="0"/>
              <w:left w:val="single" w:color="auto" w:sz="4" w:space="0"/>
              <w:bottom w:val="single" w:color="auto" w:sz="4" w:space="0"/>
              <w:right w:val="single" w:color="auto" w:sz="12"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值班电话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FF0000"/>
              </w:rPr>
            </w:pPr>
            <w:r>
              <w:rPr>
                <w:rFonts w:eastAsia="仿宋"/>
              </w:rPr>
              <w:t>1</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应急救援指挥中心24小时值班</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hint="eastAsia" w:ascii="Times New Roman" w:hAnsi="Times New Roman"/>
                <w:bCs/>
                <w:iCs/>
                <w:sz w:val="24"/>
              </w:rPr>
              <w:t>029-33126499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FF0000"/>
              </w:rPr>
            </w:pPr>
            <w:r>
              <w:rPr>
                <w:rFonts w:eastAsia="仿宋"/>
              </w:rPr>
              <w:t>2</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西咸新区秦汉新城派出所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029-33185289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FF0000"/>
              </w:rPr>
            </w:pPr>
            <w:r>
              <w:rPr>
                <w:rFonts w:eastAsia="仿宋"/>
              </w:rPr>
              <w:t>3</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lang w:val="en-US" w:eastAsia="zh-CN"/>
              </w:rPr>
            </w:pPr>
            <w:r>
              <w:rPr>
                <w:rFonts w:ascii="Times New Roman" w:hAnsi="Times New Roman"/>
                <w:bCs/>
                <w:iCs/>
                <w:sz w:val="24"/>
              </w:rPr>
              <w:t>西咸新区秦汉新城安监局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lang w:val="en-US" w:eastAsia="zh-CN"/>
              </w:rPr>
            </w:pPr>
            <w:r>
              <w:rPr>
                <w:rFonts w:ascii="Times New Roman" w:hAnsi="Times New Roman"/>
                <w:bCs/>
                <w:iCs/>
                <w:sz w:val="24"/>
              </w:rPr>
              <w:t>029-68522238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FF0000"/>
              </w:rPr>
            </w:pPr>
            <w:r>
              <w:rPr>
                <w:rFonts w:eastAsia="仿宋"/>
              </w:rPr>
              <w:t>4</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lang w:val="en-US" w:eastAsia="zh-CN"/>
              </w:rPr>
            </w:pPr>
            <w:r>
              <w:rPr>
                <w:rFonts w:ascii="Times New Roman" w:hAnsi="Times New Roman"/>
                <w:bCs/>
                <w:iCs/>
                <w:sz w:val="24"/>
              </w:rPr>
              <w:t>西咸新区秦汉新城消防中队</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029-33185313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FF0000"/>
              </w:rPr>
            </w:pPr>
            <w:r>
              <w:rPr>
                <w:rFonts w:eastAsia="仿宋"/>
              </w:rPr>
              <w:t>5</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西咸新区秦汉新城环保局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029-33185270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ascii="Times New Roman" w:hAnsi="Times New Roman" w:eastAsia="仿宋" w:cs="Times New Roman"/>
                <w:color w:val="FF0000"/>
                <w:lang w:val="en-US" w:eastAsia="zh-CN"/>
              </w:rPr>
            </w:pPr>
            <w:r>
              <w:rPr>
                <w:rFonts w:hint="eastAsia" w:eastAsia="仿宋"/>
              </w:rPr>
              <w:t>6</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咸阳市中心医院</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029-33288692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ascii="Times New Roman" w:hAnsi="Times New Roman" w:eastAsia="仿宋" w:cs="Times New Roman"/>
                <w:color w:val="FF0000"/>
                <w:lang w:val="en-US" w:eastAsia="zh-CN"/>
              </w:rPr>
            </w:pPr>
            <w:r>
              <w:rPr>
                <w:rFonts w:hint="eastAsia" w:eastAsia="仿宋"/>
              </w:rPr>
              <w:t>7</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陕西省安监局应急救援处</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029-87291072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8</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eastAsia="仿宋" w:cs="Times New Roman"/>
                <w:color w:val="FF0000"/>
                <w:lang w:eastAsia="zh-CN"/>
              </w:rPr>
            </w:pPr>
            <w:r>
              <w:rPr>
                <w:rFonts w:ascii="Times New Roman" w:hAnsi="Times New Roman"/>
                <w:bCs/>
                <w:iCs/>
                <w:sz w:val="24"/>
              </w:rPr>
              <w:t>陕西省环保厅应急办公室</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ascii="Times New Roman" w:hAnsi="Times New Roman"/>
                <w:bCs/>
                <w:iCs/>
                <w:sz w:val="24"/>
              </w:rPr>
            </w:pPr>
            <w:r>
              <w:rPr>
                <w:rFonts w:ascii="Times New Roman" w:hAnsi="Times New Roman"/>
                <w:bCs/>
                <w:iCs/>
                <w:sz w:val="24"/>
              </w:rPr>
              <w:t>029-85429265</w:t>
            </w:r>
          </w:p>
          <w:p>
            <w:pPr>
              <w:spacing w:line="240" w:lineRule="auto"/>
              <w:jc w:val="center"/>
              <w:rPr>
                <w:rFonts w:hint="default" w:ascii="Times New Roman" w:hAnsi="Times New Roman" w:eastAsia="仿宋" w:cs="Times New Roman"/>
                <w:color w:val="FF0000"/>
              </w:rPr>
            </w:pPr>
            <w:r>
              <w:rPr>
                <w:rFonts w:ascii="Times New Roman" w:hAnsi="Times New Roman"/>
                <w:bCs/>
                <w:iCs/>
                <w:sz w:val="24"/>
              </w:rPr>
              <w:t>029-85429257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9</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Times New Roman" w:hAnsi="Times New Roman" w:eastAsia="仿宋" w:cs="Times New Roman"/>
                <w:bCs/>
                <w:iCs/>
                <w:color w:val="FF0000"/>
                <w:sz w:val="24"/>
                <w:szCs w:val="24"/>
                <w:highlight w:val="none"/>
                <w:lang w:eastAsia="zh-CN"/>
              </w:rPr>
            </w:pPr>
            <w:r>
              <w:rPr>
                <w:rFonts w:ascii="Times New Roman" w:hAnsi="Times New Roman"/>
                <w:bCs/>
                <w:iCs/>
                <w:sz w:val="24"/>
              </w:rPr>
              <w:t>西安市环保局应急办</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bCs/>
                <w:iCs/>
                <w:color w:val="FF0000"/>
                <w:sz w:val="24"/>
                <w:szCs w:val="24"/>
                <w:highlight w:val="none"/>
                <w:lang w:eastAsia="zh-CN"/>
              </w:rPr>
            </w:pPr>
            <w:r>
              <w:rPr>
                <w:rFonts w:ascii="Times New Roman" w:hAnsi="Times New Roman"/>
                <w:bCs/>
                <w:iCs/>
                <w:sz w:val="24"/>
              </w:rPr>
              <w:t>12369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10</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Times New Roman" w:hAnsi="Times New Roman" w:eastAsia="仿宋" w:cs="Times New Roman"/>
                <w:bCs/>
                <w:iCs/>
                <w:color w:val="FF0000"/>
                <w:sz w:val="24"/>
                <w:szCs w:val="24"/>
                <w:highlight w:val="none"/>
                <w:lang w:eastAsia="zh-CN"/>
              </w:rPr>
            </w:pPr>
            <w:r>
              <w:rPr>
                <w:rFonts w:hint="eastAsia" w:ascii="Times New Roman" w:hAnsi="Times New Roman"/>
                <w:bCs/>
                <w:iCs/>
                <w:sz w:val="24"/>
              </w:rPr>
              <w:t>双照街道办事处</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bCs/>
                <w:iCs/>
                <w:color w:val="FF0000"/>
                <w:sz w:val="24"/>
                <w:szCs w:val="24"/>
                <w:highlight w:val="none"/>
                <w:lang w:eastAsia="zh-CN"/>
              </w:rPr>
            </w:pPr>
            <w:r>
              <w:rPr>
                <w:rFonts w:hint="eastAsia" w:ascii="Times New Roman" w:hAnsi="Times New Roman"/>
                <w:bCs/>
                <w:iCs/>
                <w:sz w:val="24"/>
              </w:rPr>
              <w:t>029-33115283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11</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default"/>
                <w:color w:val="auto"/>
                <w:sz w:val="24"/>
                <w:szCs w:val="24"/>
              </w:rPr>
              <w:t>大王中心小学</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FF0000"/>
                <w:sz w:val="24"/>
                <w:szCs w:val="24"/>
                <w:highlight w:val="none"/>
                <w:lang w:eastAsia="zh-CN"/>
              </w:rPr>
            </w:pPr>
            <w:r>
              <w:rPr>
                <w:rFonts w:hint="eastAsia" w:ascii="Times New Roman" w:hAnsi="Times New Roman" w:eastAsia="仿宋" w:cs="Times New Roman"/>
                <w:bCs/>
                <w:iCs/>
                <w:sz w:val="24"/>
                <w:szCs w:val="24"/>
                <w:highlight w:val="none"/>
                <w:lang w:val="en-US" w:eastAsia="zh-CN"/>
              </w:rPr>
              <w:t>029-33120662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12</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eastAsia" w:ascii="仿宋" w:hAnsi="仿宋" w:cs="仿宋"/>
                <w:color w:val="auto"/>
                <w:sz w:val="24"/>
                <w:szCs w:val="24"/>
                <w:vertAlign w:val="baseline"/>
                <w:lang w:eastAsia="zh-CN"/>
              </w:rPr>
              <w:t>平陵乡大王村</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FF0000"/>
                <w:sz w:val="24"/>
                <w:szCs w:val="24"/>
                <w:highlight w:val="none"/>
                <w:lang w:eastAsia="zh-CN"/>
              </w:rPr>
            </w:pPr>
            <w:r>
              <w:rPr>
                <w:rFonts w:hint="eastAsia" w:ascii="Times New Roman" w:hAnsi="Times New Roman" w:eastAsia="仿宋" w:cs="Times New Roman"/>
                <w:bCs/>
                <w:iCs/>
                <w:sz w:val="24"/>
                <w:szCs w:val="24"/>
                <w:highlight w:val="none"/>
                <w:lang w:val="en-US" w:eastAsia="zh-CN"/>
              </w:rPr>
              <w:t>029-33736790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FF0000"/>
                <w:lang w:val="en-US" w:eastAsia="zh-CN"/>
              </w:rPr>
            </w:pPr>
            <w:r>
              <w:rPr>
                <w:rFonts w:hint="eastAsia" w:eastAsia="仿宋"/>
              </w:rPr>
              <w:t>13</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eastAsia" w:ascii="仿宋" w:hAnsi="仿宋" w:cs="仿宋"/>
                <w:color w:val="auto"/>
                <w:sz w:val="24"/>
                <w:szCs w:val="24"/>
                <w:vertAlign w:val="baseline"/>
                <w:lang w:eastAsia="zh-CN"/>
              </w:rPr>
              <w:t>平陵中心卫生院</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FF0000"/>
                <w:sz w:val="24"/>
                <w:szCs w:val="24"/>
                <w:highlight w:val="none"/>
                <w:lang w:eastAsia="zh-CN"/>
              </w:rPr>
            </w:pPr>
            <w:r>
              <w:rPr>
                <w:rFonts w:hint="eastAsia" w:ascii="Times New Roman" w:hAnsi="Times New Roman" w:eastAsia="仿宋" w:cs="Times New Roman"/>
                <w:bCs/>
                <w:iCs/>
                <w:sz w:val="24"/>
                <w:szCs w:val="24"/>
                <w:highlight w:val="none"/>
                <w:lang w:val="en-US" w:eastAsia="zh-CN"/>
              </w:rPr>
              <w:t>029-33113483</w:t>
            </w:r>
          </w:p>
        </w:tc>
      </w:tr>
    </w:tbl>
    <w:p>
      <w:pPr>
        <w:spacing w:line="240" w:lineRule="auto"/>
        <w:jc w:val="center"/>
        <w:rPr>
          <w:rFonts w:hint="default"/>
          <w:color w:val="auto"/>
          <w:lang w:val="en-US" w:eastAsia="zh-CN"/>
        </w:rPr>
      </w:pPr>
    </w:p>
    <w:p>
      <w:pPr>
        <w:pStyle w:val="2"/>
        <w:rPr>
          <w:rFonts w:hint="default"/>
          <w:color w:val="auto"/>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171" w:name="_Toc26403"/>
      <w:bookmarkStart w:id="172" w:name="_Toc21043"/>
      <w:bookmarkStart w:id="173" w:name="_Toc27807"/>
      <w:bookmarkStart w:id="174" w:name="_Toc13300"/>
      <w:bookmarkStart w:id="175" w:name="_Toc24122"/>
      <w:r>
        <w:rPr>
          <w:rFonts w:hint="default" w:ascii="Times New Roman" w:hAnsi="Times New Roman" w:eastAsia="仿宋GB_2312" w:cs="Times New Roman"/>
          <w:color w:val="auto"/>
          <w:szCs w:val="36"/>
        </w:rPr>
        <w:t>4</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可能发生的突发环境事件及后果分析</w:t>
      </w:r>
      <w:bookmarkEnd w:id="171"/>
      <w:bookmarkEnd w:id="172"/>
      <w:bookmarkEnd w:id="173"/>
      <w:bookmarkEnd w:id="174"/>
      <w:bookmarkEnd w:id="175"/>
    </w:p>
    <w:p>
      <w:pPr>
        <w:pStyle w:val="2"/>
        <w:rPr>
          <w:rFonts w:hint="default" w:ascii="Times New Roman" w:hAnsi="Times New Roman" w:cs="Times New Roman"/>
          <w:color w:val="auto"/>
          <w:sz w:val="30"/>
          <w:szCs w:val="30"/>
          <w:lang w:val="en-US" w:eastAsia="zh-CN"/>
        </w:rPr>
      </w:pPr>
      <w:bookmarkStart w:id="176" w:name="_Toc24834"/>
      <w:bookmarkStart w:id="177" w:name="_Toc5199"/>
      <w:bookmarkStart w:id="178" w:name="_Toc29336"/>
      <w:bookmarkStart w:id="179" w:name="_Toc7720"/>
      <w:bookmarkStart w:id="180" w:name="_Toc23177"/>
      <w:bookmarkStart w:id="181" w:name="_Toc20304"/>
      <w:bookmarkStart w:id="182" w:name="_Toc23855"/>
      <w:r>
        <w:rPr>
          <w:rFonts w:hint="default" w:ascii="Times New Roman" w:hAnsi="Times New Roman" w:cs="Times New Roman"/>
          <w:color w:val="auto"/>
          <w:sz w:val="30"/>
          <w:szCs w:val="30"/>
          <w:lang w:val="en-US" w:eastAsia="zh-CN"/>
        </w:rPr>
        <w:t>4.1</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lang w:val="en-US" w:eastAsia="zh-CN"/>
        </w:rPr>
        <w:t>突发环境事件情景分析</w:t>
      </w:r>
      <w:bookmarkEnd w:id="176"/>
      <w:bookmarkEnd w:id="177"/>
      <w:bookmarkEnd w:id="178"/>
      <w:bookmarkEnd w:id="179"/>
      <w:bookmarkEnd w:id="180"/>
      <w:bookmarkEnd w:id="181"/>
      <w:bookmarkEnd w:id="182"/>
    </w:p>
    <w:p>
      <w:pPr>
        <w:pageBreakBefore w:val="0"/>
        <w:kinsoku/>
        <w:wordWrap/>
        <w:overflowPunct/>
        <w:topLinePunct w:val="0"/>
        <w:bidi w:val="0"/>
        <w:spacing w:line="360" w:lineRule="auto"/>
        <w:ind w:right="0" w:rightChars="0" w:firstLine="560" w:firstLineChars="200"/>
        <w:textAlignment w:val="auto"/>
        <w:rPr>
          <w:rFonts w:eastAsia="仿宋GB_2312" w:cs="Times New Roman"/>
          <w:color w:val="auto"/>
          <w:szCs w:val="28"/>
        </w:rPr>
      </w:pPr>
      <w:r>
        <w:rPr>
          <w:rFonts w:eastAsia="仿宋GB_2312" w:cs="Times New Roman"/>
          <w:color w:val="auto"/>
        </w:rPr>
        <w:t>突发环境事件，指突然发生，造成或可能造成环境污染或生态破坏，危及人民群众生命财产安全，影响社会公共秩序，需要采取紧急措施予以应对的事件。</w:t>
      </w:r>
    </w:p>
    <w:p>
      <w:pPr>
        <w:pStyle w:val="4"/>
        <w:suppressLineNumbers w:val="0"/>
        <w:autoSpaceDE/>
        <w:autoSpaceDN/>
        <w:spacing w:before="0" w:beforeLines="0" w:after="0" w:afterLines="0"/>
        <w:ind w:left="0" w:right="0"/>
        <w:jc w:val="both"/>
        <w:rPr>
          <w:rFonts w:hint="eastAsia" w:ascii="Times New Roman" w:hAnsi="Times New Roman" w:eastAsia="仿宋" w:cs="Times New Roman"/>
          <w:bCs w:val="0"/>
          <w:color w:val="auto"/>
          <w:kern w:val="2"/>
          <w:sz w:val="28"/>
          <w:szCs w:val="24"/>
          <w:highlight w:val="none"/>
          <w:lang w:val="en-US" w:eastAsia="zh-CN" w:bidi="ar-SA"/>
        </w:rPr>
      </w:pPr>
      <w:bookmarkStart w:id="183" w:name="_Toc19762"/>
      <w:r>
        <w:rPr>
          <w:rFonts w:hint="eastAsia" w:ascii="Times New Roman" w:hAnsi="Times New Roman" w:eastAsia="仿宋" w:cs="Times New Roman"/>
          <w:bCs w:val="0"/>
          <w:color w:val="auto"/>
          <w:kern w:val="2"/>
          <w:sz w:val="28"/>
          <w:szCs w:val="24"/>
          <w:highlight w:val="none"/>
          <w:lang w:val="en-US" w:eastAsia="zh-CN" w:bidi="ar-SA"/>
        </w:rPr>
        <w:t>4.1.</w:t>
      </w:r>
      <w:r>
        <w:rPr>
          <w:rFonts w:hint="eastAsia" w:ascii="Times New Roman" w:hAnsi="Times New Roman" w:cs="Times New Roman"/>
          <w:bCs w:val="0"/>
          <w:color w:val="auto"/>
          <w:kern w:val="2"/>
          <w:sz w:val="28"/>
          <w:szCs w:val="24"/>
          <w:highlight w:val="none"/>
          <w:lang w:val="en-US" w:eastAsia="zh-CN" w:bidi="ar-SA"/>
        </w:rPr>
        <w:t>1</w:t>
      </w:r>
      <w:r>
        <w:rPr>
          <w:rFonts w:hint="eastAsia" w:ascii="Times New Roman" w:hAnsi="Times New Roman" w:eastAsia="仿宋" w:cs="Times New Roman"/>
          <w:bCs w:val="0"/>
          <w:color w:val="auto"/>
          <w:kern w:val="2"/>
          <w:sz w:val="28"/>
          <w:szCs w:val="24"/>
          <w:highlight w:val="none"/>
          <w:lang w:val="en-US" w:eastAsia="zh-CN" w:bidi="ar-SA"/>
        </w:rPr>
        <w:t xml:space="preserve"> </w:t>
      </w:r>
      <w:r>
        <w:rPr>
          <w:rFonts w:hint="eastAsia" w:ascii="Times New Roman" w:hAnsi="Times New Roman" w:cs="Times New Roman"/>
          <w:bCs w:val="0"/>
          <w:color w:val="auto"/>
          <w:kern w:val="2"/>
          <w:sz w:val="28"/>
          <w:szCs w:val="24"/>
          <w:highlight w:val="none"/>
          <w:lang w:val="en-US" w:eastAsia="zh-CN" w:bidi="ar-SA"/>
        </w:rPr>
        <w:t>同类突发环境事件调查资料</w:t>
      </w:r>
    </w:p>
    <w:p>
      <w:pPr>
        <w:ind w:firstLine="560" w:firstLineChars="200"/>
        <w:rPr>
          <w:rFonts w:hint="default" w:ascii="Times New Roman" w:hAnsi="Times New Roman" w:eastAsia="仿宋" w:cs="Times New Roman"/>
          <w:color w:val="auto"/>
          <w:sz w:val="28"/>
          <w:szCs w:val="28"/>
        </w:rPr>
      </w:pPr>
      <w:r>
        <w:rPr>
          <w:rFonts w:hint="eastAsia" w:ascii="Times New Roman" w:hAnsi="Times New Roman" w:eastAsia="仿宋" w:cs="Times New Roman"/>
          <w:color w:val="auto"/>
          <w:sz w:val="28"/>
          <w:szCs w:val="28"/>
        </w:rPr>
        <w:t>根据资料报道，在</w:t>
      </w:r>
      <w:r>
        <w:rPr>
          <w:rFonts w:hint="default" w:ascii="Times New Roman" w:hAnsi="Times New Roman" w:eastAsia="仿宋" w:cs="Times New Roman"/>
          <w:color w:val="auto"/>
          <w:sz w:val="28"/>
          <w:szCs w:val="28"/>
        </w:rPr>
        <w:t>95</w:t>
      </w:r>
      <w:r>
        <w:rPr>
          <w:rFonts w:hint="eastAsia" w:ascii="Times New Roman" w:hAnsi="Times New Roman" w:eastAsia="仿宋" w:cs="Times New Roman"/>
          <w:color w:val="auto"/>
          <w:sz w:val="28"/>
          <w:szCs w:val="28"/>
        </w:rPr>
        <w:t>个国家登记的化学品事故中，发生突发性化学品事故的化学品物质形态比例及事故原因分析见表</w:t>
      </w:r>
      <w:r>
        <w:rPr>
          <w:rFonts w:hint="default" w:ascii="Times New Roman" w:hAnsi="Times New Roman" w:eastAsia="仿宋" w:cs="Times New Roman"/>
          <w:color w:val="auto"/>
          <w:sz w:val="28"/>
          <w:szCs w:val="28"/>
        </w:rPr>
        <w:t>4-1</w:t>
      </w:r>
      <w:r>
        <w:rPr>
          <w:rFonts w:hint="eastAsia" w:ascii="Times New Roman" w:hAnsi="Times New Roman" w:eastAsia="仿宋" w:cs="Times New Roman"/>
          <w:color w:val="auto"/>
          <w:sz w:val="28"/>
          <w:szCs w:val="28"/>
        </w:rPr>
        <w:t>。</w:t>
      </w:r>
    </w:p>
    <w:p>
      <w:pPr>
        <w:pStyle w:val="29"/>
        <w:rPr>
          <w:b/>
          <w:color w:val="auto"/>
          <w:kern w:val="0"/>
        </w:rPr>
      </w:pPr>
      <w:r>
        <w:rPr>
          <w:rFonts w:hint="eastAsia"/>
          <w:b/>
          <w:color w:val="auto"/>
          <w:kern w:val="0"/>
        </w:rPr>
        <w:t>表</w:t>
      </w:r>
      <w:r>
        <w:rPr>
          <w:b/>
          <w:color w:val="auto"/>
          <w:kern w:val="0"/>
        </w:rPr>
        <w:t xml:space="preserve">4-1 </w:t>
      </w:r>
      <w:r>
        <w:rPr>
          <w:rFonts w:hint="eastAsia"/>
          <w:b/>
          <w:color w:val="auto"/>
          <w:kern w:val="0"/>
        </w:rPr>
        <w:t>化学品事故分类情况</w:t>
      </w:r>
    </w:p>
    <w:tbl>
      <w:tblPr>
        <w:tblStyle w:val="20"/>
        <w:tblW w:w="7748"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258"/>
        <w:gridCol w:w="2789"/>
        <w:gridCol w:w="270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类别</w:t>
            </w: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名称</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百分数%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restart"/>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化学品的物质形态</w:t>
            </w: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液体</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45.4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液化气</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27.6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气体</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18.8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固体</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8.2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restart"/>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事故来源</w:t>
            </w: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机械故障</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34.2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碰撞事故</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26.8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人为因素</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22.8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258" w:type="dxa"/>
            <w:vMerge w:val="continue"/>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p>
        </w:tc>
        <w:tc>
          <w:tcPr>
            <w:tcW w:w="2789"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外部因素</w:t>
            </w:r>
          </w:p>
        </w:tc>
        <w:tc>
          <w:tcPr>
            <w:tcW w:w="2701" w:type="dxa"/>
            <w:vAlign w:val="center"/>
          </w:tcPr>
          <w:p>
            <w:pPr>
              <w:pStyle w:val="29"/>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16.2</w:t>
            </w:r>
          </w:p>
        </w:tc>
      </w:tr>
    </w:tbl>
    <w:p>
      <w:pPr>
        <w:pageBreakBefore w:val="0"/>
        <w:kinsoku/>
        <w:wordWrap/>
        <w:overflowPunct/>
        <w:topLinePunct w:val="0"/>
        <w:bidi w:val="0"/>
        <w:spacing w:line="360" w:lineRule="auto"/>
        <w:ind w:right="0" w:rightChars="0" w:firstLine="560" w:firstLineChars="200"/>
        <w:textAlignment w:val="auto"/>
        <w:rPr>
          <w:rFonts w:hint="eastAsia" w:ascii="Times New Roman" w:hAnsi="Times New Roman" w:eastAsia="仿宋GB_2312" w:cs="Times New Roman"/>
          <w:b w:val="0"/>
          <w:bCs w:val="0"/>
          <w:color w:val="auto"/>
          <w:lang w:val="en-US" w:eastAsia="zh-CN"/>
        </w:rPr>
      </w:pPr>
      <w:r>
        <w:rPr>
          <w:rFonts w:hint="eastAsia" w:ascii="仿宋" w:hAnsi="仿宋" w:eastAsia="仿宋"/>
          <w:color w:val="auto"/>
          <w:sz w:val="28"/>
          <w:szCs w:val="28"/>
        </w:rPr>
        <w:t>从表</w:t>
      </w:r>
      <w:r>
        <w:rPr>
          <w:rFonts w:ascii="仿宋" w:hAnsi="仿宋" w:eastAsia="仿宋"/>
          <w:color w:val="auto"/>
          <w:sz w:val="28"/>
          <w:szCs w:val="28"/>
        </w:rPr>
        <w:t xml:space="preserve">4-1 </w:t>
      </w:r>
      <w:r>
        <w:rPr>
          <w:rFonts w:hint="eastAsia" w:ascii="仿宋" w:hAnsi="仿宋" w:eastAsia="仿宋"/>
          <w:color w:val="auto"/>
          <w:sz w:val="28"/>
          <w:szCs w:val="28"/>
        </w:rPr>
        <w:t>可看出，液体化学品最易发生事故，机械故障最容易导致事故发生。</w:t>
      </w:r>
      <w:r>
        <w:rPr>
          <w:rFonts w:hint="eastAsia" w:ascii="仿宋" w:hAnsi="仿宋"/>
          <w:color w:val="auto"/>
          <w:sz w:val="28"/>
          <w:szCs w:val="28"/>
          <w:highlight w:val="none"/>
          <w:lang w:eastAsia="zh-CN"/>
        </w:rPr>
        <w:t>本</w:t>
      </w:r>
      <w:r>
        <w:rPr>
          <w:rFonts w:hint="eastAsia" w:ascii="仿宋" w:hAnsi="仿宋" w:eastAsia="仿宋"/>
          <w:color w:val="auto"/>
          <w:sz w:val="28"/>
          <w:szCs w:val="28"/>
          <w:highlight w:val="none"/>
          <w:lang w:eastAsia="zh-CN"/>
        </w:rPr>
        <w:t>厂</w:t>
      </w:r>
      <w:r>
        <w:rPr>
          <w:rFonts w:ascii="仿宋" w:hAnsi="仿宋" w:eastAsia="仿宋"/>
          <w:color w:val="auto"/>
          <w:sz w:val="28"/>
          <w:szCs w:val="28"/>
          <w:highlight w:val="none"/>
        </w:rPr>
        <w:t>的主要风险因素是</w:t>
      </w:r>
      <w:r>
        <w:rPr>
          <w:rFonts w:hint="eastAsia" w:ascii="仿宋" w:hAnsi="仿宋" w:eastAsia="仿宋"/>
          <w:color w:val="auto"/>
          <w:sz w:val="28"/>
          <w:szCs w:val="28"/>
          <w:highlight w:val="none"/>
          <w:lang w:eastAsia="zh-CN"/>
        </w:rPr>
        <w:t>危险化学品</w:t>
      </w:r>
      <w:r>
        <w:rPr>
          <w:rFonts w:hint="eastAsia" w:ascii="仿宋" w:hAnsi="仿宋" w:eastAsia="仿宋"/>
          <w:color w:val="auto"/>
          <w:sz w:val="28"/>
          <w:szCs w:val="28"/>
          <w:highlight w:val="none"/>
        </w:rPr>
        <w:t>的</w:t>
      </w:r>
      <w:r>
        <w:rPr>
          <w:rFonts w:ascii="仿宋" w:hAnsi="仿宋" w:eastAsia="仿宋"/>
          <w:color w:val="auto"/>
          <w:sz w:val="28"/>
          <w:szCs w:val="28"/>
          <w:highlight w:val="none"/>
        </w:rPr>
        <w:t>泄漏</w:t>
      </w:r>
      <w:r>
        <w:rPr>
          <w:rFonts w:hint="eastAsia" w:ascii="仿宋" w:hAnsi="仿宋" w:eastAsia="仿宋"/>
          <w:color w:val="auto"/>
          <w:sz w:val="28"/>
          <w:szCs w:val="28"/>
          <w:highlight w:val="none"/>
        </w:rPr>
        <w:t>及</w:t>
      </w:r>
      <w:r>
        <w:rPr>
          <w:rFonts w:hint="eastAsia" w:ascii="仿宋" w:hAnsi="仿宋"/>
          <w:color w:val="auto"/>
          <w:sz w:val="28"/>
          <w:szCs w:val="28"/>
          <w:highlight w:val="none"/>
          <w:lang w:eastAsia="zh-CN"/>
        </w:rPr>
        <w:t>天然气泄漏遇明火发生</w:t>
      </w:r>
      <w:r>
        <w:rPr>
          <w:rFonts w:hint="eastAsia" w:ascii="仿宋" w:hAnsi="仿宋" w:eastAsia="仿宋"/>
          <w:color w:val="auto"/>
          <w:sz w:val="28"/>
          <w:szCs w:val="28"/>
          <w:highlight w:val="none"/>
        </w:rPr>
        <w:t>火灾</w:t>
      </w:r>
      <w:r>
        <w:rPr>
          <w:rFonts w:hint="eastAsia" w:ascii="仿宋" w:hAnsi="仿宋"/>
          <w:color w:val="auto"/>
          <w:sz w:val="28"/>
          <w:szCs w:val="28"/>
          <w:highlight w:val="none"/>
          <w:lang w:eastAsia="zh-CN"/>
        </w:rPr>
        <w:t>爆炸</w:t>
      </w:r>
      <w:r>
        <w:rPr>
          <w:rFonts w:ascii="仿宋" w:hAnsi="仿宋" w:eastAsia="仿宋"/>
          <w:color w:val="auto"/>
          <w:sz w:val="28"/>
          <w:szCs w:val="28"/>
          <w:highlight w:val="none"/>
        </w:rPr>
        <w:t>。</w:t>
      </w:r>
      <w:bookmarkEnd w:id="183"/>
    </w:p>
    <w:p>
      <w:pPr>
        <w:pStyle w:val="4"/>
        <w:suppressLineNumbers w:val="0"/>
        <w:autoSpaceDE/>
        <w:autoSpaceDN/>
        <w:spacing w:before="0" w:beforeLines="0" w:after="0" w:afterLines="0"/>
        <w:ind w:left="0" w:right="0"/>
        <w:jc w:val="both"/>
        <w:rPr>
          <w:rFonts w:hint="eastAsia" w:ascii="Times New Roman" w:hAnsi="Times New Roman" w:eastAsia="仿宋" w:cs="Times New Roman"/>
          <w:bCs w:val="0"/>
          <w:color w:val="auto"/>
          <w:kern w:val="2"/>
          <w:sz w:val="28"/>
          <w:szCs w:val="24"/>
          <w:lang w:val="en-US" w:eastAsia="zh-CN" w:bidi="ar-SA"/>
        </w:rPr>
      </w:pPr>
      <w:r>
        <w:rPr>
          <w:rFonts w:hint="eastAsia" w:ascii="Times New Roman" w:hAnsi="Times New Roman" w:eastAsia="仿宋" w:cs="Times New Roman"/>
          <w:bCs w:val="0"/>
          <w:color w:val="auto"/>
          <w:kern w:val="2"/>
          <w:sz w:val="28"/>
          <w:szCs w:val="24"/>
          <w:lang w:val="en-US" w:eastAsia="zh-CN" w:bidi="ar-SA"/>
        </w:rPr>
        <w:t>4.1.2 所有可能发生突发环境事件情景</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lang w:val="en-US" w:eastAsia="zh-CN"/>
        </w:rPr>
      </w:pPr>
      <w:r>
        <w:rPr>
          <w:rFonts w:hint="eastAsia" w:ascii="Times New Roman" w:hAnsi="Times New Roman" w:eastAsia="仿宋GB_2312" w:cs="Times New Roman"/>
          <w:b w:val="0"/>
          <w:bCs w:val="0"/>
          <w:color w:val="auto"/>
          <w:lang w:val="en-US" w:eastAsia="zh-CN"/>
        </w:rPr>
        <w:t>1、危险废物及危险化学品泄漏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kern w:val="2"/>
          <w:sz w:val="28"/>
          <w:szCs w:val="24"/>
          <w:lang w:val="en-US" w:eastAsia="zh-CN" w:bidi="ar-SA"/>
        </w:rPr>
      </w:pPr>
      <w:r>
        <w:rPr>
          <w:rFonts w:hint="eastAsia" w:ascii="Times New Roman" w:hAnsi="Times New Roman" w:eastAsia="仿宋GB_2312" w:cs="Times New Roman"/>
          <w:b w:val="0"/>
          <w:bCs w:val="0"/>
          <w:color w:val="auto"/>
          <w:kern w:val="2"/>
          <w:sz w:val="28"/>
          <w:szCs w:val="24"/>
          <w:lang w:val="en-US" w:eastAsia="zh-CN" w:bidi="ar-SA"/>
        </w:rPr>
        <w:t>发生原因：①储存危险废物、危险化学品容器破裂，导致泄漏；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kern w:val="2"/>
          <w:sz w:val="28"/>
          <w:szCs w:val="24"/>
          <w:lang w:val="en-US" w:eastAsia="zh-CN" w:bidi="ar-SA"/>
        </w:rPr>
      </w:pPr>
      <w:r>
        <w:rPr>
          <w:rFonts w:hint="eastAsia" w:ascii="Times New Roman" w:hAnsi="Times New Roman" w:eastAsia="仿宋GB_2312" w:cs="Times New Roman"/>
          <w:b w:val="0"/>
          <w:bCs w:val="0"/>
          <w:color w:val="auto"/>
          <w:kern w:val="2"/>
          <w:sz w:val="28"/>
          <w:szCs w:val="24"/>
          <w:lang w:val="en-US" w:eastAsia="zh-CN" w:bidi="ar-SA"/>
        </w:rPr>
        <w:t>②危险废物、危险化学品接卸过程中，操作失误导致物料的泄漏。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kern w:val="2"/>
          <w:sz w:val="28"/>
          <w:szCs w:val="24"/>
          <w:lang w:val="en-US" w:eastAsia="zh-CN" w:bidi="ar-SA"/>
        </w:rPr>
      </w:pPr>
      <w:r>
        <w:rPr>
          <w:rFonts w:hint="eastAsia" w:ascii="Times New Roman" w:hAnsi="Times New Roman" w:eastAsia="仿宋GB_2312" w:cs="Times New Roman"/>
          <w:b w:val="0"/>
          <w:bCs w:val="0"/>
          <w:color w:val="auto"/>
          <w:kern w:val="2"/>
          <w:sz w:val="28"/>
          <w:szCs w:val="24"/>
          <w:lang w:val="en-US" w:eastAsia="zh-CN" w:bidi="ar-SA"/>
        </w:rPr>
        <w:t>环境事件情景：以上事件可能影响地表水和地下水环境。</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lang w:val="en-US" w:eastAsia="zh-CN"/>
        </w:rPr>
      </w:pPr>
      <w:r>
        <w:rPr>
          <w:rFonts w:hint="eastAsia" w:ascii="Times New Roman" w:hAnsi="Times New Roman" w:eastAsia="仿宋GB_2312" w:cs="Times New Roman"/>
          <w:b w:val="0"/>
          <w:bCs w:val="0"/>
          <w:color w:val="auto"/>
          <w:lang w:val="en-US" w:eastAsia="zh-CN"/>
        </w:rPr>
        <w:t>2、火灾、爆炸事故</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lang w:val="en-US" w:eastAsia="zh-CN"/>
        </w:rPr>
      </w:pPr>
      <w:r>
        <w:rPr>
          <w:rFonts w:hint="eastAsia" w:ascii="Times New Roman" w:hAnsi="Times New Roman" w:eastAsia="仿宋GB_2312" w:cs="Times New Roman"/>
          <w:b w:val="0"/>
          <w:bCs w:val="0"/>
          <w:color w:val="auto"/>
          <w:lang w:val="en-US" w:eastAsia="zh-CN"/>
        </w:rPr>
        <w:t>发生原因：①操作失误、管理失误。②设备损坏未及时维修、容器破裂。</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GB_2312" w:cs="Times New Roman"/>
          <w:b w:val="0"/>
          <w:bCs w:val="0"/>
          <w:color w:val="auto"/>
          <w:lang w:val="en-US" w:eastAsia="zh-CN"/>
        </w:rPr>
      </w:pPr>
      <w:r>
        <w:rPr>
          <w:rFonts w:hint="eastAsia" w:ascii="Times New Roman" w:hAnsi="Times New Roman" w:eastAsia="仿宋GB_2312" w:cs="Times New Roman"/>
          <w:b w:val="0"/>
          <w:bCs w:val="0"/>
          <w:color w:val="auto"/>
          <w:lang w:val="en-US" w:eastAsia="zh-CN"/>
        </w:rPr>
        <w:t>环境事件情景：危险化学品储存场所、危废暂存库、生产车间等因管理不善引起火灾；天然气泄漏遇明火引起火灾。</w:t>
      </w:r>
    </w:p>
    <w:p>
      <w:pPr>
        <w:pStyle w:val="4"/>
        <w:suppressLineNumbers w:val="0"/>
        <w:autoSpaceDE/>
        <w:autoSpaceDN/>
        <w:spacing w:before="0" w:beforeLines="0" w:after="0" w:afterLines="0"/>
        <w:ind w:left="0" w:right="0"/>
        <w:jc w:val="both"/>
        <w:rPr>
          <w:rFonts w:hint="eastAsia" w:ascii="Times New Roman" w:hAnsi="Times New Roman" w:eastAsia="仿宋" w:cs="Times New Roman"/>
          <w:bCs w:val="0"/>
          <w:color w:val="auto"/>
          <w:kern w:val="2"/>
          <w:sz w:val="28"/>
          <w:szCs w:val="24"/>
          <w:highlight w:val="none"/>
          <w:lang w:val="en-US" w:eastAsia="zh-CN" w:bidi="ar-SA"/>
        </w:rPr>
      </w:pPr>
      <w:r>
        <w:rPr>
          <w:rFonts w:hint="eastAsia" w:ascii="Times New Roman" w:hAnsi="Times New Roman" w:eastAsia="仿宋" w:cs="Times New Roman"/>
          <w:bCs w:val="0"/>
          <w:color w:val="auto"/>
          <w:kern w:val="2"/>
          <w:sz w:val="28"/>
          <w:szCs w:val="24"/>
          <w:highlight w:val="none"/>
          <w:lang w:val="en-US" w:eastAsia="zh-CN" w:bidi="ar-SA"/>
        </w:rPr>
        <w:t>4.</w:t>
      </w:r>
      <w:r>
        <w:rPr>
          <w:rFonts w:hint="eastAsia" w:ascii="Times New Roman" w:hAnsi="Times New Roman" w:cs="Times New Roman"/>
          <w:bCs w:val="0"/>
          <w:color w:val="auto"/>
          <w:kern w:val="2"/>
          <w:sz w:val="28"/>
          <w:szCs w:val="24"/>
          <w:highlight w:val="none"/>
          <w:lang w:val="en-US" w:eastAsia="zh-CN" w:bidi="ar-SA"/>
        </w:rPr>
        <w:t>1.3</w:t>
      </w:r>
      <w:r>
        <w:rPr>
          <w:rFonts w:hint="eastAsia" w:ascii="Times New Roman" w:hAnsi="Times New Roman" w:eastAsia="仿宋" w:cs="Times New Roman"/>
          <w:bCs w:val="0"/>
          <w:color w:val="auto"/>
          <w:kern w:val="2"/>
          <w:sz w:val="28"/>
          <w:szCs w:val="24"/>
          <w:highlight w:val="none"/>
          <w:lang w:val="en-US" w:eastAsia="zh-CN" w:bidi="ar-SA"/>
        </w:rPr>
        <w:t xml:space="preserve"> 主要突发环境事件情景源强分析</w:t>
      </w:r>
    </w:p>
    <w:p>
      <w:pPr>
        <w:ind w:firstLine="560" w:firstLineChars="200"/>
        <w:rPr>
          <w:rFonts w:hint="eastAsia" w:eastAsia="仿宋"/>
          <w:color w:val="auto"/>
          <w:sz w:val="28"/>
          <w:szCs w:val="28"/>
        </w:rPr>
      </w:pPr>
      <w:r>
        <w:rPr>
          <w:rFonts w:hint="eastAsia" w:eastAsia="仿宋"/>
          <w:color w:val="auto"/>
          <w:sz w:val="28"/>
          <w:szCs w:val="28"/>
        </w:rPr>
        <w:t>（1）治理设施异常或超标</w:t>
      </w:r>
    </w:p>
    <w:p>
      <w:pPr>
        <w:ind w:firstLine="560" w:firstLineChars="200"/>
        <w:rPr>
          <w:rFonts w:hint="eastAsia" w:eastAsia="仿宋"/>
          <w:color w:val="auto"/>
          <w:sz w:val="28"/>
          <w:szCs w:val="28"/>
        </w:rPr>
      </w:pPr>
      <w:r>
        <w:rPr>
          <w:rFonts w:hint="eastAsia" w:eastAsia="仿宋"/>
          <w:color w:val="auto"/>
          <w:sz w:val="28"/>
          <w:szCs w:val="28"/>
        </w:rPr>
        <w:t>企业的污染治理设施运行是管理重点，导致污染物超标主要因素</w:t>
      </w:r>
      <w:r>
        <w:rPr>
          <w:rFonts w:hint="eastAsia"/>
          <w:color w:val="auto"/>
          <w:sz w:val="28"/>
          <w:szCs w:val="28"/>
          <w:lang w:eastAsia="zh-CN"/>
        </w:rPr>
        <w:t>有</w:t>
      </w:r>
      <w:r>
        <w:rPr>
          <w:rFonts w:hint="eastAsia" w:eastAsia="仿宋"/>
          <w:color w:val="auto"/>
          <w:sz w:val="28"/>
          <w:szCs w:val="28"/>
        </w:rPr>
        <w:t>人的因素、设备因素和管理因素。</w:t>
      </w:r>
    </w:p>
    <w:p>
      <w:pPr>
        <w:ind w:firstLine="560" w:firstLineChars="200"/>
        <w:rPr>
          <w:color w:val="auto"/>
        </w:rPr>
      </w:pPr>
      <w:r>
        <w:rPr>
          <w:rFonts w:hint="eastAsia" w:eastAsia="仿宋"/>
          <w:color w:val="auto"/>
          <w:sz w:val="28"/>
          <w:szCs w:val="28"/>
        </w:rPr>
        <w:t>操作人员巡检不到位，隐患发现不及时，设备故障异常</w:t>
      </w:r>
      <w:r>
        <w:rPr>
          <w:rFonts w:hint="eastAsia"/>
          <w:color w:val="auto"/>
          <w:sz w:val="28"/>
          <w:szCs w:val="28"/>
          <w:lang w:eastAsia="zh-CN"/>
        </w:rPr>
        <w:t>未</w:t>
      </w:r>
      <w:r>
        <w:rPr>
          <w:rFonts w:hint="eastAsia" w:eastAsia="仿宋"/>
          <w:color w:val="auto"/>
          <w:sz w:val="28"/>
          <w:szCs w:val="28"/>
        </w:rPr>
        <w:t>第一时间排除，生产工艺发生改变而污染物处理设施未及时调整，导致废</w:t>
      </w:r>
      <w:r>
        <w:rPr>
          <w:rFonts w:hint="eastAsia"/>
          <w:color w:val="auto"/>
          <w:sz w:val="28"/>
          <w:szCs w:val="28"/>
          <w:lang w:eastAsia="zh-CN"/>
        </w:rPr>
        <w:t>水</w:t>
      </w:r>
      <w:r>
        <w:rPr>
          <w:rFonts w:hint="eastAsia" w:eastAsia="仿宋"/>
          <w:color w:val="auto"/>
          <w:sz w:val="28"/>
          <w:szCs w:val="28"/>
        </w:rPr>
        <w:t>出现超标现象。</w:t>
      </w:r>
    </w:p>
    <w:p>
      <w:pPr>
        <w:spacing w:line="360" w:lineRule="auto"/>
        <w:ind w:right="-123" w:rightChars="-44" w:firstLine="560" w:firstLineChars="200"/>
        <w:rPr>
          <w:rFonts w:eastAsia="仿宋"/>
          <w:color w:val="auto"/>
          <w:sz w:val="28"/>
          <w:szCs w:val="28"/>
        </w:rPr>
      </w:pPr>
      <w:r>
        <w:rPr>
          <w:rFonts w:eastAsia="仿宋"/>
          <w:color w:val="auto"/>
          <w:sz w:val="28"/>
          <w:szCs w:val="28"/>
        </w:rPr>
        <w:t>（2）运输、贮存、装卸过程中</w:t>
      </w:r>
      <w:r>
        <w:rPr>
          <w:rFonts w:hint="eastAsia"/>
          <w:color w:val="auto"/>
          <w:sz w:val="28"/>
          <w:szCs w:val="28"/>
          <w:lang w:eastAsia="zh-CN"/>
        </w:rPr>
        <w:t>危险化学品、</w:t>
      </w:r>
      <w:r>
        <w:rPr>
          <w:rFonts w:eastAsia="仿宋"/>
          <w:color w:val="auto"/>
          <w:sz w:val="28"/>
          <w:szCs w:val="28"/>
        </w:rPr>
        <w:t>危险废弃物泄漏、抛撒污染水体、土壤、空气。</w:t>
      </w:r>
    </w:p>
    <w:p>
      <w:pPr>
        <w:snapToGrid w:val="0"/>
        <w:spacing w:line="480" w:lineRule="exact"/>
        <w:jc w:val="center"/>
        <w:rPr>
          <w:rFonts w:eastAsia="仿宋"/>
          <w:b/>
          <w:color w:val="auto"/>
          <w:sz w:val="24"/>
          <w:szCs w:val="24"/>
        </w:rPr>
      </w:pPr>
      <w:r>
        <w:rPr>
          <w:rFonts w:eastAsia="仿宋"/>
          <w:b/>
          <w:color w:val="auto"/>
          <w:sz w:val="24"/>
          <w:szCs w:val="24"/>
        </w:rPr>
        <w:t>表4-3    泄漏、抛撒事故原因分析</w:t>
      </w:r>
    </w:p>
    <w:tbl>
      <w:tblPr>
        <w:tblStyle w:val="19"/>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89"/>
        <w:gridCol w:w="1424"/>
        <w:gridCol w:w="590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事故类型</w:t>
            </w:r>
          </w:p>
        </w:tc>
        <w:tc>
          <w:tcPr>
            <w:tcW w:w="7333" w:type="dxa"/>
            <w:gridSpan w:val="2"/>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事故原因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756" w:hRule="atLeast"/>
        </w:trPr>
        <w:tc>
          <w:tcPr>
            <w:tcW w:w="1189" w:type="dxa"/>
            <w:vMerge w:val="restart"/>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泄漏事故</w:t>
            </w: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客户单位装车泄漏</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叉车卸货中发生货物失稳坠落，摔裂；槽车用管道泵抽液过程中管道脱落、破裂；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运输途中泄漏、抛撒</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运输车辆因车祸导致所装</w:t>
            </w:r>
            <w:r>
              <w:rPr>
                <w:rFonts w:hint="eastAsia" w:eastAsia="仿宋"/>
                <w:color w:val="auto"/>
                <w:kern w:val="44"/>
                <w:sz w:val="24"/>
                <w:szCs w:val="24"/>
              </w:rPr>
              <w:t>危险化学品、</w:t>
            </w:r>
            <w:r>
              <w:rPr>
                <w:rFonts w:eastAsia="仿宋"/>
                <w:color w:val="auto"/>
                <w:kern w:val="44"/>
                <w:sz w:val="24"/>
                <w:szCs w:val="24"/>
              </w:rPr>
              <w:t>危险废弃物发生泄漏；罐体、槽车因密封盖松开、阀门损坏、破裂，袋装包装物破损导致泄漏、抛撒、扬尘等；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卸货、贮存过程中泄漏、抛撒</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卸货中发生货物失稳坠落，摔裂；槽车用管道泵抽液过程中管道脱落、破裂；暂存库中因液体对容器腐蚀，挥发性蒸汽压力过大导致容器破裂。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处置过程中泄漏</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从贮存库至处置车间运输转移、处置现场发生容器破裂，管道脱落破损发生泄漏，抛撒事故。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包装不规范</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未按照所装</w:t>
            </w:r>
            <w:r>
              <w:rPr>
                <w:rFonts w:hint="eastAsia" w:eastAsia="仿宋"/>
                <w:color w:val="auto"/>
                <w:kern w:val="44"/>
                <w:sz w:val="24"/>
                <w:szCs w:val="24"/>
              </w:rPr>
              <w:t>危险化学品、</w:t>
            </w:r>
            <w:r>
              <w:rPr>
                <w:rFonts w:eastAsia="仿宋"/>
                <w:color w:val="auto"/>
                <w:kern w:val="44"/>
                <w:sz w:val="24"/>
                <w:szCs w:val="24"/>
              </w:rPr>
              <w:t>危险废弃物选择合适材质容器或包装物。未采取帆布盖顶或裸露运输等。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189"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424"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其他原因</w:t>
            </w:r>
          </w:p>
        </w:tc>
        <w:tc>
          <w:tcPr>
            <w:tcW w:w="5909"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禁忌物混装发生化学反应、人为蓄意破坏及自然灾害等</w:t>
            </w:r>
          </w:p>
        </w:tc>
      </w:tr>
    </w:tbl>
    <w:p>
      <w:pPr>
        <w:spacing w:line="360" w:lineRule="auto"/>
        <w:ind w:right="-123" w:rightChars="-44" w:firstLine="560" w:firstLineChars="200"/>
        <w:rPr>
          <w:rFonts w:eastAsia="仿宋"/>
          <w:color w:val="auto"/>
          <w:sz w:val="28"/>
          <w:szCs w:val="28"/>
        </w:rPr>
      </w:pPr>
      <w:r>
        <w:rPr>
          <w:rFonts w:eastAsia="仿宋"/>
          <w:color w:val="auto"/>
          <w:sz w:val="28"/>
          <w:szCs w:val="28"/>
        </w:rPr>
        <w:t>（</w:t>
      </w:r>
      <w:r>
        <w:rPr>
          <w:rFonts w:hint="eastAsia" w:eastAsia="仿宋"/>
          <w:color w:val="auto"/>
          <w:sz w:val="28"/>
          <w:szCs w:val="28"/>
        </w:rPr>
        <w:t>3</w:t>
      </w:r>
      <w:r>
        <w:rPr>
          <w:rFonts w:eastAsia="仿宋"/>
          <w:color w:val="auto"/>
          <w:sz w:val="28"/>
          <w:szCs w:val="28"/>
        </w:rPr>
        <w:t>）火灾或爆炸事故</w:t>
      </w:r>
    </w:p>
    <w:p>
      <w:pPr>
        <w:spacing w:line="360" w:lineRule="auto"/>
        <w:ind w:right="-123" w:rightChars="-44" w:firstLine="560" w:firstLineChars="200"/>
        <w:rPr>
          <w:rFonts w:eastAsia="仿宋"/>
          <w:color w:val="auto"/>
          <w:sz w:val="28"/>
          <w:szCs w:val="28"/>
        </w:rPr>
      </w:pPr>
      <w:r>
        <w:rPr>
          <w:rFonts w:eastAsia="仿宋"/>
          <w:color w:val="auto"/>
          <w:sz w:val="28"/>
          <w:szCs w:val="28"/>
        </w:rPr>
        <w:t>发生火灾或爆炸事故的潜在因素分为物质因素和诱发因素，其中物质因素主要涉及物质的危险性、物质系数以及危险物质是否达到一定的规模，他们是事故发生的内在因素，而诱发因素是引起事故的外在动力，包括生产装置设备的工作状态，以及环境因素、人为因素和管理因素。</w:t>
      </w:r>
    </w:p>
    <w:p>
      <w:pPr>
        <w:spacing w:line="360" w:lineRule="auto"/>
        <w:ind w:right="-123" w:rightChars="-44" w:firstLine="560" w:firstLineChars="200"/>
        <w:rPr>
          <w:rFonts w:eastAsia="仿宋"/>
          <w:color w:val="auto"/>
          <w:sz w:val="28"/>
          <w:szCs w:val="28"/>
        </w:rPr>
      </w:pPr>
      <w:r>
        <w:rPr>
          <w:rFonts w:eastAsia="仿宋"/>
          <w:color w:val="auto"/>
          <w:sz w:val="28"/>
          <w:szCs w:val="28"/>
        </w:rPr>
        <w:t>本</w:t>
      </w:r>
      <w:r>
        <w:rPr>
          <w:rFonts w:hint="eastAsia" w:eastAsia="仿宋"/>
          <w:color w:val="auto"/>
          <w:sz w:val="28"/>
          <w:szCs w:val="28"/>
        </w:rPr>
        <w:t>公司</w:t>
      </w:r>
      <w:r>
        <w:rPr>
          <w:rFonts w:eastAsia="仿宋"/>
          <w:color w:val="auto"/>
          <w:sz w:val="28"/>
          <w:szCs w:val="28"/>
        </w:rPr>
        <w:t>涉及的</w:t>
      </w:r>
      <w:r>
        <w:rPr>
          <w:rFonts w:hint="eastAsia"/>
          <w:color w:val="auto"/>
          <w:sz w:val="28"/>
          <w:szCs w:val="28"/>
          <w:lang w:eastAsia="zh-CN"/>
        </w:rPr>
        <w:t>天然气</w:t>
      </w:r>
      <w:r>
        <w:rPr>
          <w:rFonts w:eastAsia="仿宋"/>
          <w:color w:val="auto"/>
          <w:sz w:val="28"/>
          <w:szCs w:val="28"/>
        </w:rPr>
        <w:t>具有可燃特性，有发生火灾爆炸的危险</w:t>
      </w:r>
      <w:r>
        <w:rPr>
          <w:rFonts w:hint="eastAsia"/>
          <w:color w:val="auto"/>
          <w:sz w:val="28"/>
          <w:szCs w:val="28"/>
          <w:lang w:eastAsia="zh-CN"/>
        </w:rPr>
        <w:t>，</w:t>
      </w:r>
      <w:r>
        <w:rPr>
          <w:rFonts w:eastAsia="仿宋"/>
          <w:color w:val="auto"/>
          <w:sz w:val="28"/>
          <w:szCs w:val="28"/>
        </w:rPr>
        <w:t>主要原因见表4-</w:t>
      </w:r>
      <w:r>
        <w:rPr>
          <w:rFonts w:hint="eastAsia" w:eastAsia="仿宋"/>
          <w:color w:val="auto"/>
          <w:sz w:val="28"/>
          <w:szCs w:val="28"/>
        </w:rPr>
        <w:t>4</w:t>
      </w:r>
      <w:r>
        <w:rPr>
          <w:rFonts w:eastAsia="仿宋"/>
          <w:color w:val="auto"/>
          <w:sz w:val="28"/>
          <w:szCs w:val="28"/>
        </w:rPr>
        <w:t>。</w:t>
      </w:r>
    </w:p>
    <w:p>
      <w:pPr>
        <w:snapToGrid w:val="0"/>
        <w:spacing w:line="480" w:lineRule="exact"/>
        <w:jc w:val="center"/>
        <w:rPr>
          <w:rFonts w:eastAsia="仿宋"/>
          <w:b/>
          <w:color w:val="auto"/>
          <w:sz w:val="24"/>
          <w:szCs w:val="24"/>
        </w:rPr>
      </w:pPr>
      <w:r>
        <w:rPr>
          <w:rFonts w:eastAsia="仿宋"/>
          <w:b/>
          <w:color w:val="auto"/>
          <w:sz w:val="24"/>
          <w:szCs w:val="24"/>
        </w:rPr>
        <w:t>表4-</w:t>
      </w:r>
      <w:r>
        <w:rPr>
          <w:rFonts w:hint="eastAsia" w:eastAsia="仿宋"/>
          <w:b/>
          <w:color w:val="auto"/>
          <w:sz w:val="24"/>
          <w:szCs w:val="24"/>
        </w:rPr>
        <w:t>4</w:t>
      </w:r>
      <w:r>
        <w:rPr>
          <w:rFonts w:eastAsia="仿宋"/>
          <w:b/>
          <w:color w:val="auto"/>
          <w:sz w:val="24"/>
          <w:szCs w:val="24"/>
        </w:rPr>
        <w:t xml:space="preserve">   火灾和爆炸事故原因分析</w:t>
      </w:r>
    </w:p>
    <w:tbl>
      <w:tblPr>
        <w:tblStyle w:val="19"/>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46"/>
        <w:gridCol w:w="1500"/>
        <w:gridCol w:w="57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事故类型</w:t>
            </w:r>
          </w:p>
        </w:tc>
        <w:tc>
          <w:tcPr>
            <w:tcW w:w="7276" w:type="dxa"/>
            <w:gridSpan w:val="2"/>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事故原因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756" w:hRule="atLeast"/>
        </w:trPr>
        <w:tc>
          <w:tcPr>
            <w:tcW w:w="1246" w:type="dxa"/>
            <w:vMerge w:val="restart"/>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火灾事故</w:t>
            </w: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明火</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both"/>
              <w:textAlignment w:val="auto"/>
              <w:outlineLvl w:val="9"/>
              <w:rPr>
                <w:rFonts w:eastAsia="仿宋"/>
                <w:color w:val="auto"/>
                <w:kern w:val="44"/>
                <w:sz w:val="24"/>
                <w:szCs w:val="24"/>
              </w:rPr>
            </w:pPr>
            <w:r>
              <w:rPr>
                <w:rFonts w:eastAsia="仿宋"/>
                <w:color w:val="auto"/>
                <w:kern w:val="44"/>
                <w:sz w:val="24"/>
                <w:szCs w:val="24"/>
              </w:rPr>
              <w:t>检修过程中违章动火作业、现场吸烟等。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违章作业</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both"/>
              <w:textAlignment w:val="auto"/>
              <w:outlineLvl w:val="9"/>
              <w:rPr>
                <w:rFonts w:hint="eastAsia" w:eastAsia="仿宋"/>
                <w:color w:val="auto"/>
                <w:kern w:val="44"/>
                <w:sz w:val="24"/>
                <w:szCs w:val="24"/>
                <w:lang w:eastAsia="zh-CN"/>
              </w:rPr>
            </w:pPr>
            <w:r>
              <w:rPr>
                <w:rFonts w:eastAsia="仿宋"/>
                <w:color w:val="auto"/>
                <w:kern w:val="44"/>
                <w:sz w:val="24"/>
                <w:szCs w:val="24"/>
              </w:rPr>
              <w:t>违章指挥、违章操作、误操作、擅离工作岗位、纪律松弛及思想麻痹等行为</w:t>
            </w:r>
            <w:r>
              <w:rPr>
                <w:rFonts w:hint="eastAsia"/>
                <w:color w:val="auto"/>
                <w:kern w:val="44"/>
                <w:sz w:val="24"/>
                <w:szCs w:val="24"/>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静电、放电</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hint="eastAsia" w:eastAsia="仿宋"/>
                <w:color w:val="auto"/>
                <w:kern w:val="44"/>
                <w:sz w:val="24"/>
                <w:szCs w:val="24"/>
                <w:lang w:eastAsia="zh-CN"/>
              </w:rPr>
            </w:pPr>
            <w:r>
              <w:rPr>
                <w:rFonts w:eastAsia="仿宋"/>
                <w:color w:val="auto"/>
                <w:kern w:val="44"/>
                <w:sz w:val="24"/>
                <w:szCs w:val="24"/>
              </w:rPr>
              <w:t>物料在装卸、输送作业中，由于流动和被搅动、冲击、易产生和积聚静电，人体携带静电</w:t>
            </w:r>
            <w:r>
              <w:rPr>
                <w:rFonts w:hint="eastAsia"/>
                <w:color w:val="auto"/>
                <w:kern w:val="44"/>
                <w:sz w:val="24"/>
                <w:szCs w:val="24"/>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雷击及杂散电流</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both"/>
              <w:textAlignment w:val="auto"/>
              <w:outlineLvl w:val="9"/>
              <w:rPr>
                <w:rFonts w:eastAsia="仿宋"/>
                <w:color w:val="auto"/>
                <w:kern w:val="44"/>
                <w:sz w:val="24"/>
                <w:szCs w:val="24"/>
              </w:rPr>
            </w:pPr>
            <w:r>
              <w:rPr>
                <w:rFonts w:eastAsia="仿宋"/>
                <w:color w:val="auto"/>
                <w:kern w:val="44"/>
                <w:sz w:val="24"/>
                <w:szCs w:val="24"/>
              </w:rPr>
              <w:t>建筑物的防雷设施不齐备或防雷接地措施不足</w:t>
            </w:r>
            <w:r>
              <w:rPr>
                <w:rFonts w:hint="eastAsia"/>
                <w:color w:val="auto"/>
                <w:kern w:val="44"/>
                <w:sz w:val="24"/>
                <w:szCs w:val="24"/>
                <w:lang w:eastAsia="zh-CN"/>
              </w:rPr>
              <w:t>，</w:t>
            </w:r>
            <w:r>
              <w:rPr>
                <w:rFonts w:eastAsia="仿宋"/>
                <w:color w:val="auto"/>
                <w:kern w:val="44"/>
                <w:sz w:val="24"/>
                <w:szCs w:val="24"/>
              </w:rPr>
              <w:t>杂散电流窜入危险作业场所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其他原因</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both"/>
              <w:textAlignment w:val="auto"/>
              <w:outlineLvl w:val="9"/>
              <w:rPr>
                <w:rFonts w:hint="eastAsia" w:eastAsia="仿宋"/>
                <w:color w:val="auto"/>
                <w:kern w:val="44"/>
                <w:sz w:val="24"/>
                <w:szCs w:val="24"/>
                <w:lang w:eastAsia="zh-CN"/>
              </w:rPr>
            </w:pPr>
            <w:r>
              <w:rPr>
                <w:rFonts w:eastAsia="仿宋"/>
                <w:color w:val="auto"/>
                <w:kern w:val="44"/>
                <w:sz w:val="24"/>
                <w:szCs w:val="24"/>
              </w:rPr>
              <w:t>撞击摩擦、交通事故、人为蓄意破坏及自然灾害等</w:t>
            </w:r>
            <w:r>
              <w:rPr>
                <w:rFonts w:hint="eastAsia"/>
                <w:color w:val="auto"/>
                <w:kern w:val="44"/>
                <w:sz w:val="24"/>
                <w:szCs w:val="24"/>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c>
          <w:tcPr>
            <w:tcW w:w="124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爆炸事故</w:t>
            </w:r>
          </w:p>
        </w:tc>
        <w:tc>
          <w:tcPr>
            <w:tcW w:w="1500"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9"/>
              <w:rPr>
                <w:rFonts w:eastAsia="仿宋"/>
                <w:color w:val="auto"/>
                <w:kern w:val="44"/>
                <w:sz w:val="24"/>
                <w:szCs w:val="24"/>
              </w:rPr>
            </w:pPr>
            <w:r>
              <w:rPr>
                <w:rFonts w:eastAsia="仿宋"/>
                <w:color w:val="auto"/>
                <w:kern w:val="44"/>
                <w:sz w:val="24"/>
                <w:szCs w:val="24"/>
              </w:rPr>
              <w:t>粉尘积累、静电或明火</w:t>
            </w:r>
          </w:p>
        </w:tc>
        <w:tc>
          <w:tcPr>
            <w:tcW w:w="5776" w:type="dxa"/>
            <w:vAlign w:val="center"/>
          </w:tcPr>
          <w:p>
            <w:pPr>
              <w:keepNext w:val="0"/>
              <w:keepLines w:val="0"/>
              <w:pageBreakBefore w:val="0"/>
              <w:widowControl w:val="0"/>
              <w:kinsoku/>
              <w:wordWrap/>
              <w:overflowPunct/>
              <w:topLinePunct w:val="0"/>
              <w:autoSpaceDE/>
              <w:autoSpaceDN/>
              <w:bidi w:val="0"/>
              <w:adjustRightInd/>
              <w:snapToGrid w:val="0"/>
              <w:spacing w:line="360" w:lineRule="auto"/>
              <w:jc w:val="left"/>
              <w:textAlignment w:val="auto"/>
              <w:outlineLvl w:val="9"/>
              <w:rPr>
                <w:rFonts w:eastAsia="仿宋"/>
                <w:color w:val="auto"/>
                <w:kern w:val="44"/>
                <w:sz w:val="24"/>
                <w:szCs w:val="24"/>
              </w:rPr>
            </w:pPr>
            <w:r>
              <w:rPr>
                <w:rFonts w:eastAsia="仿宋"/>
                <w:color w:val="auto"/>
                <w:kern w:val="44"/>
                <w:sz w:val="24"/>
                <w:szCs w:val="24"/>
              </w:rPr>
              <w:t>管道、地沟等密闭或半密闭空间可燃粉尘积累，遇明火或静电导致爆炸。</w:t>
            </w:r>
          </w:p>
        </w:tc>
      </w:tr>
    </w:tbl>
    <w:p>
      <w:pPr>
        <w:pStyle w:val="2"/>
        <w:rPr>
          <w:rFonts w:hint="default" w:ascii="Times New Roman" w:hAnsi="Times New Roman" w:cs="Times New Roman"/>
          <w:color w:val="auto"/>
          <w:sz w:val="30"/>
          <w:szCs w:val="30"/>
          <w:lang w:val="en-US" w:eastAsia="zh-CN"/>
        </w:rPr>
      </w:pPr>
      <w:bookmarkStart w:id="184" w:name="_Toc5810"/>
      <w:bookmarkStart w:id="185" w:name="_Toc18684"/>
      <w:bookmarkStart w:id="186" w:name="_Toc26720"/>
      <w:r>
        <w:rPr>
          <w:rFonts w:hint="default" w:ascii="Times New Roman" w:hAnsi="Times New Roman" w:cs="Times New Roman"/>
          <w:color w:val="auto"/>
          <w:sz w:val="30"/>
          <w:szCs w:val="30"/>
          <w:lang w:val="en-US" w:eastAsia="zh-CN"/>
        </w:rPr>
        <w:t>4.2突发环境事件风险源分析</w:t>
      </w:r>
      <w:bookmarkEnd w:id="184"/>
      <w:bookmarkEnd w:id="185"/>
      <w:bookmarkEnd w:id="186"/>
    </w:p>
    <w:p>
      <w:pPr>
        <w:pStyle w:val="4"/>
        <w:rPr>
          <w:rFonts w:hint="default" w:ascii="Times New Roman" w:hAnsi="Times New Roman" w:cs="Times New Roman"/>
          <w:color w:val="auto"/>
          <w:highlight w:val="none"/>
          <w:lang w:val="en-US" w:eastAsia="zh-CN"/>
        </w:rPr>
      </w:pPr>
      <w:bookmarkStart w:id="187" w:name="_Toc23956"/>
      <w:bookmarkStart w:id="188" w:name="_Toc13824"/>
      <w:bookmarkStart w:id="189" w:name="_Toc5527"/>
      <w:r>
        <w:rPr>
          <w:rFonts w:hint="default" w:ascii="Times New Roman" w:hAnsi="Times New Roman" w:cs="Times New Roman"/>
          <w:color w:val="auto"/>
          <w:highlight w:val="none"/>
          <w:lang w:val="en-US" w:eastAsia="zh-CN"/>
        </w:rPr>
        <w:t>4.2.1</w:t>
      </w:r>
      <w:r>
        <w:rPr>
          <w:rFonts w:hint="eastAsia" w:ascii="Times New Roman" w:hAnsi="Times New Roman" w:cs="Times New Roman"/>
          <w:color w:val="auto"/>
          <w:highlight w:val="none"/>
          <w:lang w:val="en-US" w:eastAsia="zh-CN"/>
        </w:rPr>
        <w:t>风险</w:t>
      </w:r>
      <w:r>
        <w:rPr>
          <w:rFonts w:hint="default" w:ascii="Times New Roman" w:hAnsi="Times New Roman" w:cs="Times New Roman"/>
          <w:color w:val="auto"/>
          <w:highlight w:val="none"/>
          <w:lang w:val="en-US" w:eastAsia="zh-CN"/>
        </w:rPr>
        <w:t>源辨识</w:t>
      </w:r>
      <w:bookmarkEnd w:id="187"/>
      <w:bookmarkEnd w:id="188"/>
      <w:bookmarkEnd w:id="189"/>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cs="Times New Roman"/>
          <w:color w:val="auto"/>
          <w:sz w:val="28"/>
          <w:szCs w:val="28"/>
          <w:lang w:eastAsia="zh-CN"/>
        </w:rPr>
        <w:t>风险</w:t>
      </w:r>
      <w:r>
        <w:rPr>
          <w:rFonts w:hint="default" w:ascii="Times New Roman" w:hAnsi="Times New Roman" w:eastAsia="仿宋" w:cs="Times New Roman"/>
          <w:color w:val="auto"/>
          <w:sz w:val="28"/>
          <w:szCs w:val="28"/>
        </w:rPr>
        <w:t>源辨识标准</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按照</w:t>
      </w:r>
      <w:r>
        <w:rPr>
          <w:rFonts w:hint="eastAsia"/>
          <w:color w:val="auto"/>
          <w:highlight w:val="none"/>
          <w:lang w:val="en-US" w:eastAsia="zh-CN"/>
        </w:rPr>
        <w:t>《企业突发环境事件风险分级方法》</w:t>
      </w:r>
      <w:r>
        <w:rPr>
          <w:rFonts w:hint="default" w:ascii="Times New Roman" w:hAnsi="Times New Roman" w:cs="Times New Roman"/>
          <w:color w:val="auto"/>
          <w:highlight w:val="none"/>
          <w:lang w:val="en-US" w:eastAsia="zh-CN"/>
        </w:rPr>
        <w:t>（HJ 941-2018）</w:t>
      </w:r>
      <w:r>
        <w:rPr>
          <w:rFonts w:hint="default" w:ascii="Times New Roman" w:hAnsi="Times New Roman" w:eastAsia="仿宋GB_2312" w:cs="Times New Roman"/>
          <w:color w:val="auto"/>
          <w:sz w:val="28"/>
          <w:szCs w:val="28"/>
          <w:highlight w:val="none"/>
        </w:rPr>
        <w:t>中的规定，</w:t>
      </w:r>
      <w:r>
        <w:rPr>
          <w:rFonts w:hint="eastAsia" w:ascii="Times New Roman" w:hAnsi="Times New Roman" w:eastAsia="仿宋GB_2312" w:cs="Times New Roman"/>
          <w:color w:val="auto"/>
          <w:sz w:val="28"/>
          <w:szCs w:val="28"/>
          <w:highlight w:val="none"/>
          <w:lang w:val="en-US" w:eastAsia="zh-CN"/>
        </w:rPr>
        <w:t>判断企业生产原料、产品、中间产品、副产品、催化剂、辅助生产物料、燃料、“三废”污染物等是否涉及大气及水风险物质（混合或稀释的风险物质按其组分比例折算成纯物质），计算涉气及涉水风险物质在厂界内的存在量（如存在量呈动态变化，则按年度内最大存在量计算）与其在附录A中临界量的比值Q</w:t>
      </w:r>
      <w:r>
        <w:rPr>
          <w:rFonts w:hint="default" w:ascii="Times New Roman" w:hAnsi="Times New Roman" w:eastAsia="仿宋GB_2312" w:cs="Times New Roman"/>
          <w:color w:val="auto"/>
          <w:sz w:val="28"/>
          <w:szCs w:val="28"/>
          <w:highlight w:val="none"/>
        </w:rPr>
        <w: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eastAsia"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1</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当企业只涉及一种风险物质时，该物质的数量与其临界比值，即为Q。</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default"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2</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当企业存在多种风险物质时，则按式（1）计算：</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right"/>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position w:val="-30"/>
          <w:sz w:val="28"/>
          <w:szCs w:val="28"/>
          <w:highlight w:val="none"/>
        </w:rPr>
        <w:object>
          <v:shape id="_x0000_i1025" o:spt="75" type="#_x0000_t75" style="height:42.45pt;width:215.9pt;" o:ole="t" filled="f" o:preferrelative="t" stroked="f" coordsize="21600,21600">
            <v:path/>
            <v:fill on="f" focussize="0,0"/>
            <v:stroke on="f"/>
            <v:imagedata r:id="rId9" o:title=""/>
            <o:lock v:ext="edit" aspectratio="t"/>
            <w10:wrap type="none"/>
            <w10:anchorlock/>
          </v:shape>
          <o:OLEObject Type="Embed" ProgID="Equation.KSEE3" ShapeID="_x0000_i1025" DrawAspect="Content" ObjectID="_1468075725" r:id="rId8">
            <o:LockedField>false</o:LockedField>
          </o:OLEObject>
        </w:object>
      </w:r>
      <w:r>
        <w:rPr>
          <w:rFonts w:hint="eastAsia" w:ascii="Times New Roman" w:hAnsi="Times New Roman" w:eastAsia="仿宋GB_2312" w:cs="Times New Roman"/>
          <w:color w:val="auto"/>
          <w:position w:val="-30"/>
          <w:sz w:val="28"/>
          <w:szCs w:val="28"/>
          <w:highlight w:val="none"/>
          <w:lang w:val="en-US" w:eastAsia="zh-CN"/>
        </w:rPr>
        <w:t xml:space="preserve">        </w:t>
      </w:r>
      <w:r>
        <w:rPr>
          <w:rFonts w:hint="default" w:ascii="Times New Roman" w:hAnsi="Times New Roman" w:eastAsia="仿宋GB_2312" w:cs="Times New Roman"/>
          <w:color w:val="auto"/>
          <w:sz w:val="28"/>
          <w:szCs w:val="28"/>
          <w:highlight w:val="none"/>
        </w:rPr>
        <w:t>（1）</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式中：</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——每种风险物质的存在量，t；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1400" w:firstLineChars="500"/>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——每种风险物质的临界量，t。</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2、辨识结果</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eastAsia" w:ascii="Times New Roman" w:hAnsi="Times New Roman" w:cs="Times New Roman"/>
          <w:color w:val="auto"/>
          <w:sz w:val="28"/>
          <w:szCs w:val="28"/>
          <w:lang w:eastAsia="zh-CN"/>
        </w:rPr>
        <w:t>风险</w:t>
      </w:r>
      <w:r>
        <w:rPr>
          <w:rFonts w:hint="default" w:ascii="Times New Roman" w:hAnsi="Times New Roman" w:eastAsia="仿宋" w:cs="Times New Roman"/>
          <w:color w:val="auto"/>
          <w:sz w:val="28"/>
          <w:szCs w:val="28"/>
        </w:rPr>
        <w:t>源辨识结果</w:t>
      </w:r>
      <w:r>
        <w:rPr>
          <w:rFonts w:hint="eastAsia" w:ascii="Times New Roman" w:hAnsi="Times New Roman" w:eastAsia="仿宋" w:cs="Times New Roman"/>
          <w:color w:val="auto"/>
          <w:sz w:val="28"/>
          <w:szCs w:val="28"/>
          <w:lang w:eastAsia="zh-CN"/>
        </w:rPr>
        <w:t>见</w:t>
      </w:r>
      <w:r>
        <w:rPr>
          <w:rFonts w:hint="default" w:ascii="Times New Roman" w:hAnsi="Times New Roman" w:eastAsia="仿宋" w:cs="Times New Roman"/>
          <w:color w:val="auto"/>
          <w:sz w:val="28"/>
          <w:szCs w:val="28"/>
        </w:rPr>
        <w:t xml:space="preserve">下表： </w:t>
      </w:r>
    </w:p>
    <w:p>
      <w:pPr>
        <w:topLinePunct/>
        <w:autoSpaceDE/>
        <w:autoSpaceDN/>
        <w:spacing w:line="240" w:lineRule="auto"/>
        <w:ind w:firstLine="420"/>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表</w:t>
      </w:r>
      <w:r>
        <w:rPr>
          <w:rFonts w:hint="eastAsia" w:ascii="Times New Roman" w:hAnsi="Times New Roman" w:cs="Times New Roman"/>
          <w:b/>
          <w:color w:val="auto"/>
          <w:sz w:val="21"/>
          <w:szCs w:val="21"/>
          <w:lang w:val="en-US" w:eastAsia="zh-CN"/>
        </w:rPr>
        <w:t>4-5  风险</w:t>
      </w:r>
      <w:r>
        <w:rPr>
          <w:rFonts w:hint="default" w:ascii="Times New Roman" w:hAnsi="Times New Roman" w:cs="Times New Roman"/>
          <w:b/>
          <w:color w:val="auto"/>
          <w:sz w:val="21"/>
          <w:szCs w:val="21"/>
        </w:rPr>
        <w:t>源识别表</w:t>
      </w:r>
    </w:p>
    <w:tbl>
      <w:tblPr>
        <w:tblStyle w:val="19"/>
        <w:tblW w:w="852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7"/>
        <w:gridCol w:w="2568"/>
        <w:gridCol w:w="1659"/>
        <w:gridCol w:w="1899"/>
        <w:gridCol w:w="146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blHeader/>
        </w:trPr>
        <w:tc>
          <w:tcPr>
            <w:tcW w:w="927"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2568"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名称</w:t>
            </w:r>
          </w:p>
        </w:tc>
        <w:tc>
          <w:tcPr>
            <w:tcW w:w="1659"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lang w:eastAsia="zh-CN"/>
              </w:rPr>
              <w:t>最大</w:t>
            </w:r>
            <w:r>
              <w:rPr>
                <w:rFonts w:hint="default" w:ascii="Times New Roman" w:hAnsi="Times New Roman" w:eastAsia="仿宋" w:cs="Times New Roman"/>
                <w:b/>
                <w:bCs/>
                <w:color w:val="auto"/>
                <w:sz w:val="24"/>
                <w:szCs w:val="24"/>
              </w:rPr>
              <w:t>储量/t</w:t>
            </w:r>
          </w:p>
        </w:tc>
        <w:tc>
          <w:tcPr>
            <w:tcW w:w="1899" w:type="dxa"/>
            <w:vAlign w:val="center"/>
          </w:tcPr>
          <w:p>
            <w:pPr>
              <w:keepNext w:val="0"/>
              <w:keepLines w:val="0"/>
              <w:widowControl/>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临界量/t</w:t>
            </w:r>
          </w:p>
        </w:tc>
        <w:tc>
          <w:tcPr>
            <w:tcW w:w="1469" w:type="dxa"/>
            <w:vAlign w:val="center"/>
          </w:tcPr>
          <w:p>
            <w:pPr>
              <w:keepNext w:val="0"/>
              <w:keepLines w:val="0"/>
              <w:widowControl/>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q</w:t>
            </w:r>
            <w:r>
              <w:rPr>
                <w:rFonts w:hint="default" w:ascii="Times New Roman" w:hAnsi="Times New Roman" w:eastAsia="仿宋" w:cs="Times New Roman"/>
                <w:b/>
                <w:bCs/>
                <w:color w:val="auto"/>
                <w:sz w:val="24"/>
                <w:szCs w:val="24"/>
                <w:vertAlign w:val="subscript"/>
              </w:rPr>
              <w:t>n</w:t>
            </w:r>
            <w:r>
              <w:rPr>
                <w:rFonts w:hint="default" w:ascii="Times New Roman" w:hAnsi="Times New Roman" w:eastAsia="仿宋" w:cs="Times New Roman"/>
                <w:b/>
                <w:bCs/>
                <w:color w:val="auto"/>
                <w:sz w:val="24"/>
                <w:szCs w:val="24"/>
              </w:rPr>
              <w:t>/Q</w:t>
            </w:r>
            <w:r>
              <w:rPr>
                <w:rFonts w:hint="default" w:ascii="Times New Roman" w:hAnsi="Times New Roman" w:eastAsia="仿宋" w:cs="Times New Roman"/>
                <w:b/>
                <w:bCs/>
                <w:color w:val="auto"/>
                <w:sz w:val="24"/>
                <w:szCs w:val="24"/>
                <w:vertAlign w:val="subscript"/>
              </w:rPr>
              <w:t>n</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927"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w:t>
            </w:r>
          </w:p>
        </w:tc>
        <w:tc>
          <w:tcPr>
            <w:tcW w:w="2568"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119" w:leftChars="0" w:right="-102" w:rightChars="0"/>
              <w:jc w:val="center"/>
              <w:textAlignment w:val="auto"/>
              <w:outlineLvl w:val="9"/>
              <w:rPr>
                <w:rFonts w:hint="eastAsia" w:ascii="Times New Roman" w:hAnsi="Times New Roman" w:eastAsia="仿宋" w:cs="Times New Roman"/>
                <w:color w:val="auto"/>
                <w:sz w:val="24"/>
                <w:szCs w:val="24"/>
                <w:highlight w:val="none"/>
                <w:lang w:eastAsia="zh-CN"/>
              </w:rPr>
            </w:pPr>
            <w:r>
              <w:rPr>
                <w:rFonts w:hint="eastAsia" w:ascii="Times New Roman" w:hAnsi="Times New Roman" w:cs="Times New Roman"/>
                <w:color w:val="auto"/>
                <w:kern w:val="2"/>
                <w:sz w:val="24"/>
                <w:szCs w:val="24"/>
                <w:highlight w:val="none"/>
                <w:lang w:val="en-US" w:eastAsia="zh-CN"/>
              </w:rPr>
              <w:t>天然气</w:t>
            </w:r>
          </w:p>
        </w:tc>
        <w:tc>
          <w:tcPr>
            <w:tcW w:w="1659" w:type="dxa"/>
            <w:vAlign w:val="center"/>
          </w:tcPr>
          <w:p>
            <w:pPr>
              <w:keepNext w:val="0"/>
              <w:keepLines w:val="0"/>
              <w:suppressLineNumbers w:val="0"/>
              <w:spacing w:before="0" w:beforeAutospacing="0" w:after="0" w:afterAutospacing="0" w:line="240" w:lineRule="auto"/>
              <w:ind w:left="0" w:right="0"/>
              <w:jc w:val="center"/>
              <w:rPr>
                <w:rFonts w:hint="eastAsia"/>
                <w:lang w:val="en-US" w:eastAsia="zh-CN"/>
              </w:rPr>
            </w:pPr>
            <w:r>
              <w:rPr>
                <w:rFonts w:hint="eastAsia" w:ascii="Times New Roman" w:hAnsi="Times New Roman" w:cs="Times New Roman"/>
                <w:color w:val="auto"/>
                <w:kern w:val="2"/>
                <w:sz w:val="24"/>
                <w:szCs w:val="24"/>
                <w:highlight w:val="none"/>
                <w:lang w:val="en-US" w:eastAsia="zh-CN"/>
              </w:rPr>
              <w:t>0.8</w:t>
            </w:r>
          </w:p>
        </w:tc>
        <w:tc>
          <w:tcPr>
            <w:tcW w:w="189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10</w:t>
            </w:r>
          </w:p>
        </w:tc>
        <w:tc>
          <w:tcPr>
            <w:tcW w:w="146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highlight w:val="none"/>
                <w:lang w:val="en-US" w:eastAsia="zh-CN"/>
              </w:rPr>
              <w:t>0.08</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7053" w:type="dxa"/>
            <w:gridSpan w:val="4"/>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合计</w:t>
            </w:r>
          </w:p>
        </w:tc>
        <w:tc>
          <w:tcPr>
            <w:tcW w:w="146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highlight w:val="none"/>
                <w:lang w:val="en-US" w:eastAsia="zh-CN"/>
              </w:rPr>
              <w:t>0.08</w:t>
            </w:r>
          </w:p>
        </w:tc>
      </w:tr>
    </w:tbl>
    <w:p>
      <w:pPr>
        <w:keepNext w:val="0"/>
        <w:keepLines w:val="0"/>
        <w:pageBreakBefore w:val="0"/>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eastAsia" w:ascii="Times New Roman" w:hAnsi="Times New Roman" w:eastAsia="仿宋GB_2312" w:cs="Times New Roman"/>
          <w:color w:val="auto"/>
          <w:sz w:val="28"/>
          <w:szCs w:val="28"/>
          <w:highlight w:val="none"/>
          <w:lang w:val="en-US" w:eastAsia="zh-CN"/>
        </w:rPr>
      </w:pPr>
      <w:r>
        <w:rPr>
          <w:rFonts w:hint="eastAsia" w:ascii="Times New Roman" w:hAnsi="Times New Roman" w:eastAsia="仿宋GB_2312" w:cs="Times New Roman"/>
          <w:color w:val="auto"/>
          <w:sz w:val="28"/>
          <w:szCs w:val="28"/>
          <w:highlight w:val="none"/>
          <w:lang w:val="en-US" w:eastAsia="zh-CN"/>
        </w:rPr>
        <w:t>按数值大小，将Q划分为4个水平：</w:t>
      </w:r>
    </w:p>
    <w:p>
      <w:pPr>
        <w:keepNext w:val="0"/>
        <w:keepLines w:val="0"/>
        <w:pageBreakBefore w:val="0"/>
        <w:numPr>
          <w:ilvl w:val="0"/>
          <w:numId w:val="1"/>
        </w:numPr>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Q&lt;1，</w:t>
      </w:r>
      <w:r>
        <w:rPr>
          <w:rFonts w:hint="eastAsia" w:ascii="Times New Roman" w:hAnsi="Times New Roman" w:eastAsia="仿宋GB_2312" w:cs="Times New Roman"/>
          <w:color w:val="auto"/>
          <w:sz w:val="28"/>
          <w:szCs w:val="28"/>
          <w:highlight w:val="none"/>
          <w:lang w:val="en-US" w:eastAsia="zh-CN"/>
        </w:rPr>
        <w:t>以Q0表示，</w:t>
      </w:r>
      <w:r>
        <w:rPr>
          <w:rFonts w:hint="default" w:ascii="Times New Roman" w:hAnsi="Times New Roman" w:eastAsia="仿宋GB_2312" w:cs="Times New Roman"/>
          <w:color w:val="auto"/>
          <w:sz w:val="28"/>
          <w:szCs w:val="28"/>
          <w:highlight w:val="none"/>
        </w:rPr>
        <w:t>企业直接评为一般环境风险等级</w:t>
      </w:r>
      <w:r>
        <w:rPr>
          <w:rFonts w:hint="eastAsia" w:ascii="Times New Roman" w:hAnsi="Times New Roman" w:eastAsia="仿宋GB_2312" w:cs="Times New Roman"/>
          <w:color w:val="auto"/>
          <w:sz w:val="28"/>
          <w:szCs w:val="28"/>
          <w:highlight w:val="none"/>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2</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1≤Q&lt;10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以Q1表示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3</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10≤Q&lt;100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以Q2表示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2"/>
        </w:numPr>
        <w:kinsoku/>
        <w:wordWrap/>
        <w:overflowPunct/>
        <w:topLinePunct w:val="0"/>
        <w:autoSpaceDE/>
        <w:autoSpaceDN/>
        <w:bidi w:val="0"/>
        <w:adjustRightInd/>
        <w:snapToGrid/>
        <w:spacing w:line="360" w:lineRule="auto"/>
        <w:ind w:left="0" w:leftChars="0" w:right="0" w:rightChars="0" w:firstLine="560" w:firstLineChars="200"/>
        <w:contextualSpacing/>
        <w:textAlignment w:val="auto"/>
        <w:outlineLvl w:val="9"/>
        <w:rPr>
          <w:rFonts w:hint="eastAsia"/>
          <w:color w:val="auto"/>
          <w:lang w:val="en-US" w:eastAsia="zh-CN"/>
        </w:rPr>
      </w:pPr>
      <w:r>
        <w:rPr>
          <w:rFonts w:hint="default" w:ascii="Times New Roman" w:hAnsi="Times New Roman" w:eastAsia="仿宋GB_2312" w:cs="Times New Roman"/>
          <w:color w:val="auto"/>
          <w:sz w:val="28"/>
          <w:szCs w:val="28"/>
          <w:highlight w:val="none"/>
        </w:rPr>
        <w:t>Q≥100，</w:t>
      </w:r>
      <w:r>
        <w:rPr>
          <w:rFonts w:hint="eastAsia" w:ascii="Times New Roman" w:hAnsi="Times New Roman" w:eastAsia="仿宋GB_2312" w:cs="Times New Roman"/>
          <w:color w:val="auto"/>
          <w:sz w:val="28"/>
          <w:szCs w:val="28"/>
          <w:highlight w:val="none"/>
          <w:lang w:val="en-US" w:eastAsia="zh-CN"/>
        </w:rPr>
        <w:t>以Q3表示</w:t>
      </w:r>
      <w:r>
        <w:rPr>
          <w:rFonts w:hint="default" w:ascii="Times New Roman" w:hAnsi="Times New Roman" w:eastAsia="仿宋GB_2312" w:cs="Times New Roman"/>
          <w:color w:val="auto"/>
          <w:sz w:val="28"/>
          <w:szCs w:val="28"/>
          <w:highlight w:val="none"/>
        </w:rPr>
        <w:t>。</w:t>
      </w:r>
    </w:p>
    <w:p>
      <w:pPr>
        <w:topLinePunct/>
        <w:autoSpaceDE/>
        <w:autoSpaceDN/>
        <w:spacing w:line="360" w:lineRule="auto"/>
        <w:ind w:firstLine="560" w:firstLineChars="200"/>
        <w:rPr>
          <w:rFonts w:hint="default"/>
          <w:color w:val="auto"/>
          <w:lang w:val="en-US" w:eastAsia="zh-CN"/>
        </w:rPr>
      </w:pPr>
      <w:r>
        <w:rPr>
          <w:rFonts w:hint="eastAsia"/>
          <w:color w:val="auto"/>
          <w:lang w:val="en-US" w:eastAsia="zh-CN"/>
        </w:rPr>
        <w:t>因此，企业为一般环境风险等级。</w:t>
      </w:r>
    </w:p>
    <w:p>
      <w:pPr>
        <w:pStyle w:val="4"/>
        <w:rPr>
          <w:rFonts w:hint="eastAsia" w:ascii="Times New Roman" w:hAnsi="Times New Roman" w:eastAsia="仿宋" w:cs="Times New Roman"/>
          <w:color w:val="auto"/>
          <w:lang w:val="en-US" w:eastAsia="zh-CN"/>
        </w:rPr>
      </w:pPr>
      <w:bookmarkStart w:id="190" w:name="_Toc7555"/>
      <w:bookmarkStart w:id="191" w:name="_Toc3000"/>
      <w:bookmarkStart w:id="192" w:name="_Toc7297"/>
      <w:bookmarkStart w:id="193" w:name="_Toc19061"/>
      <w:bookmarkStart w:id="194" w:name="_Toc4895"/>
      <w:bookmarkStart w:id="195" w:name="_Toc13808"/>
      <w:bookmarkStart w:id="196" w:name="_Toc10619"/>
      <w:r>
        <w:rPr>
          <w:rFonts w:hint="default" w:ascii="Times New Roman" w:hAnsi="Times New Roman" w:cs="Times New Roman"/>
          <w:color w:val="auto"/>
          <w:lang w:val="en-US" w:eastAsia="zh-CN"/>
        </w:rPr>
        <w:t>4.2.</w:t>
      </w:r>
      <w:r>
        <w:rPr>
          <w:rFonts w:hint="eastAsia" w:ascii="Times New Roman" w:hAnsi="Times New Roman" w:cs="Times New Roman"/>
          <w:color w:val="auto"/>
          <w:lang w:val="en-US" w:eastAsia="zh-CN"/>
        </w:rPr>
        <w:t>2风险物质</w:t>
      </w:r>
      <w:bookmarkEnd w:id="190"/>
      <w:bookmarkEnd w:id="191"/>
      <w:bookmarkEnd w:id="192"/>
      <w:bookmarkEnd w:id="193"/>
      <w:bookmarkEnd w:id="194"/>
      <w:bookmarkEnd w:id="195"/>
      <w:bookmarkEnd w:id="196"/>
      <w:r>
        <w:rPr>
          <w:rFonts w:hint="eastAsia" w:ascii="Times New Roman" w:hAnsi="Times New Roman" w:cs="Times New Roman"/>
          <w:color w:val="auto"/>
          <w:lang w:val="en-US" w:eastAsia="zh-CN"/>
        </w:rPr>
        <w:t>的分析</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根据《企业突发环境事件风险分级办法》（HJ 941-2018）可知，本公司涉及的风险物质是</w:t>
      </w:r>
      <w:r>
        <w:rPr>
          <w:rFonts w:hint="eastAsia" w:ascii="Times New Roman" w:hAnsi="Times New Roman" w:cs="Times New Roman"/>
          <w:color w:val="auto"/>
          <w:kern w:val="0"/>
          <w:sz w:val="28"/>
          <w:szCs w:val="28"/>
          <w:highlight w:val="none"/>
          <w:lang w:val="en-US" w:eastAsia="zh-CN" w:bidi="ar"/>
        </w:rPr>
        <w:t>天然气</w:t>
      </w:r>
      <w:r>
        <w:rPr>
          <w:rFonts w:hint="default" w:ascii="Times New Roman" w:hAnsi="Times New Roman" w:cs="Times New Roman"/>
          <w:color w:val="auto"/>
          <w:kern w:val="0"/>
          <w:sz w:val="28"/>
          <w:szCs w:val="28"/>
          <w:highlight w:val="none"/>
          <w:lang w:val="en-US" w:eastAsia="zh-CN" w:bidi="ar"/>
        </w:rPr>
        <w:t>。</w:t>
      </w:r>
    </w:p>
    <w:p>
      <w:pPr>
        <w:pStyle w:val="4"/>
        <w:rPr>
          <w:rFonts w:hint="default" w:ascii="Times New Roman" w:hAnsi="Times New Roman" w:cs="Times New Roman"/>
          <w:color w:val="auto"/>
          <w:highlight w:val="none"/>
          <w:lang w:val="en-US" w:eastAsia="zh-CN"/>
        </w:rPr>
      </w:pPr>
      <w:bookmarkStart w:id="197" w:name="_Toc3723"/>
      <w:bookmarkStart w:id="198" w:name="_Toc29936"/>
      <w:bookmarkStart w:id="199" w:name="_Toc19557"/>
      <w:r>
        <w:rPr>
          <w:rFonts w:hint="eastAsia" w:ascii="Times New Roman" w:hAnsi="Times New Roman" w:cs="Times New Roman"/>
          <w:color w:val="auto"/>
          <w:highlight w:val="none"/>
          <w:lang w:val="en-US" w:eastAsia="zh-CN"/>
        </w:rPr>
        <w:t>4.2.3废气污染源分析</w:t>
      </w:r>
      <w:bookmarkEnd w:id="197"/>
      <w:bookmarkEnd w:id="198"/>
      <w:bookmarkEnd w:id="199"/>
    </w:p>
    <w:p>
      <w:pPr>
        <w:pStyle w:val="31"/>
        <w:ind w:firstLine="480" w:firstLineChars="0"/>
        <w:rPr>
          <w:rFonts w:hint="default" w:ascii="Times New Roman" w:hAnsi="Times New Roman" w:eastAsia="仿宋" w:cs="Times New Roman"/>
          <w:b w:val="0"/>
          <w:bCs w:val="0"/>
          <w:color w:val="auto"/>
          <w:kern w:val="0"/>
          <w:sz w:val="28"/>
          <w:szCs w:val="28"/>
          <w:highlight w:val="none"/>
          <w:lang w:val="en-US" w:eastAsia="zh-CN" w:bidi="ar"/>
        </w:rPr>
      </w:pPr>
      <w:r>
        <w:rPr>
          <w:rFonts w:hint="default" w:ascii="Times New Roman" w:hAnsi="Times New Roman" w:eastAsia="仿宋" w:cs="Times New Roman"/>
          <w:b w:val="0"/>
          <w:bCs w:val="0"/>
          <w:color w:val="auto"/>
          <w:kern w:val="0"/>
          <w:sz w:val="28"/>
          <w:szCs w:val="28"/>
          <w:highlight w:val="none"/>
          <w:lang w:val="en-US" w:eastAsia="zh-CN" w:bidi="ar"/>
        </w:rPr>
        <w:t>本项目运营期废气主要为</w:t>
      </w:r>
      <w:r>
        <w:rPr>
          <w:rFonts w:hint="eastAsia" w:ascii="Times New Roman" w:hAnsi="Times New Roman" w:eastAsia="仿宋" w:cs="Times New Roman"/>
          <w:b w:val="0"/>
          <w:bCs w:val="0"/>
          <w:color w:val="auto"/>
          <w:kern w:val="0"/>
          <w:sz w:val="28"/>
          <w:szCs w:val="28"/>
          <w:highlight w:val="none"/>
          <w:lang w:val="en-US" w:eastAsia="zh-CN" w:bidi="ar"/>
        </w:rPr>
        <w:t>减水剂中未聚合的微量</w:t>
      </w:r>
      <w:r>
        <w:rPr>
          <w:rFonts w:hint="default" w:ascii="Times New Roman" w:hAnsi="Times New Roman" w:eastAsia="仿宋" w:cs="Times New Roman"/>
          <w:b w:val="0"/>
          <w:bCs w:val="0"/>
          <w:color w:val="auto"/>
          <w:kern w:val="0"/>
          <w:sz w:val="28"/>
          <w:szCs w:val="28"/>
          <w:highlight w:val="none"/>
          <w:lang w:val="en-US" w:eastAsia="zh-CN" w:bidi="ar"/>
        </w:rPr>
        <w:t>甲醛</w:t>
      </w:r>
      <w:r>
        <w:rPr>
          <w:rFonts w:hint="eastAsia" w:ascii="Times New Roman" w:hAnsi="Times New Roman" w:eastAsia="仿宋" w:cs="Times New Roman"/>
          <w:b w:val="0"/>
          <w:bCs w:val="0"/>
          <w:color w:val="auto"/>
          <w:kern w:val="0"/>
          <w:sz w:val="28"/>
          <w:szCs w:val="28"/>
          <w:highlight w:val="none"/>
          <w:lang w:val="en-US" w:eastAsia="zh-CN" w:bidi="ar"/>
        </w:rPr>
        <w:t>、</w:t>
      </w:r>
      <w:r>
        <w:rPr>
          <w:rFonts w:hint="default" w:ascii="Times New Roman" w:hAnsi="Times New Roman" w:eastAsia="仿宋" w:cs="Times New Roman"/>
          <w:b w:val="0"/>
          <w:bCs w:val="0"/>
          <w:color w:val="auto"/>
          <w:kern w:val="0"/>
          <w:sz w:val="28"/>
          <w:szCs w:val="28"/>
          <w:highlight w:val="none"/>
          <w:lang w:val="en-US" w:eastAsia="zh-CN" w:bidi="ar"/>
        </w:rPr>
        <w:t>原辅料在</w:t>
      </w:r>
      <w:r>
        <w:rPr>
          <w:rFonts w:hint="eastAsia" w:ascii="Times New Roman" w:hAnsi="Times New Roman" w:eastAsia="仿宋" w:cs="Times New Roman"/>
          <w:b w:val="0"/>
          <w:bCs w:val="0"/>
          <w:color w:val="auto"/>
          <w:kern w:val="0"/>
          <w:sz w:val="28"/>
          <w:szCs w:val="28"/>
          <w:highlight w:val="none"/>
          <w:lang w:val="en-US" w:eastAsia="zh-CN" w:bidi="ar"/>
        </w:rPr>
        <w:t>投料</w:t>
      </w:r>
      <w:r>
        <w:rPr>
          <w:rFonts w:hint="default" w:ascii="Times New Roman" w:hAnsi="Times New Roman" w:eastAsia="仿宋" w:cs="Times New Roman"/>
          <w:b w:val="0"/>
          <w:bCs w:val="0"/>
          <w:color w:val="auto"/>
          <w:kern w:val="0"/>
          <w:sz w:val="28"/>
          <w:szCs w:val="28"/>
          <w:highlight w:val="none"/>
          <w:lang w:val="en-US" w:eastAsia="zh-CN" w:bidi="ar"/>
        </w:rPr>
        <w:t>过程中产生的少量粉尘。</w:t>
      </w:r>
    </w:p>
    <w:p>
      <w:pPr>
        <w:pStyle w:val="31"/>
        <w:ind w:firstLine="480" w:firstLineChars="0"/>
        <w:rPr>
          <w:rFonts w:hint="default" w:ascii="Times New Roman" w:hAnsi="Times New Roman" w:eastAsia="仿宋" w:cs="Times New Roman"/>
          <w:b w:val="0"/>
          <w:bCs w:val="0"/>
          <w:color w:val="auto"/>
          <w:kern w:val="0"/>
          <w:sz w:val="28"/>
          <w:szCs w:val="28"/>
          <w:highlight w:val="none"/>
          <w:lang w:val="en-US" w:eastAsia="zh-CN" w:bidi="ar"/>
        </w:rPr>
      </w:pPr>
      <w:r>
        <w:rPr>
          <w:rFonts w:hint="eastAsia" w:ascii="Times New Roman" w:hAnsi="Times New Roman" w:eastAsia="仿宋" w:cs="Times New Roman"/>
          <w:b w:val="0"/>
          <w:bCs w:val="0"/>
          <w:color w:val="auto"/>
          <w:kern w:val="0"/>
          <w:sz w:val="28"/>
          <w:szCs w:val="28"/>
          <w:highlight w:val="none"/>
          <w:lang w:val="en-US" w:eastAsia="zh-CN" w:bidi="ar"/>
        </w:rPr>
        <w:t>生产废气</w:t>
      </w:r>
      <w:r>
        <w:rPr>
          <w:rFonts w:hint="eastAsia" w:ascii="Times New Roman" w:hAnsi="Times New Roman" w:cs="Times New Roman"/>
          <w:b w:val="0"/>
          <w:bCs w:val="0"/>
          <w:color w:val="auto"/>
          <w:kern w:val="0"/>
          <w:sz w:val="28"/>
          <w:szCs w:val="28"/>
          <w:highlight w:val="none"/>
          <w:lang w:val="en-US" w:eastAsia="zh-CN" w:bidi="ar"/>
        </w:rPr>
        <w:t>通过</w:t>
      </w:r>
      <w:r>
        <w:rPr>
          <w:rFonts w:hint="eastAsia" w:ascii="Times New Roman" w:hAnsi="Times New Roman" w:eastAsia="仿宋" w:cs="Times New Roman"/>
          <w:b w:val="0"/>
          <w:bCs w:val="0"/>
          <w:color w:val="auto"/>
          <w:kern w:val="0"/>
          <w:sz w:val="28"/>
          <w:szCs w:val="28"/>
          <w:highlight w:val="none"/>
          <w:lang w:val="en-US" w:eastAsia="zh-CN" w:bidi="ar"/>
        </w:rPr>
        <w:t>“冷凝器+2层碱性喷淋+3层水洗喷淋”处理装置</w:t>
      </w:r>
      <w:r>
        <w:rPr>
          <w:rFonts w:hint="eastAsia" w:ascii="Times New Roman" w:hAnsi="Times New Roman" w:cs="Times New Roman"/>
          <w:b w:val="0"/>
          <w:bCs w:val="0"/>
          <w:color w:val="auto"/>
          <w:kern w:val="0"/>
          <w:sz w:val="28"/>
          <w:szCs w:val="28"/>
          <w:highlight w:val="none"/>
          <w:lang w:val="en-US" w:eastAsia="zh-CN" w:bidi="ar"/>
        </w:rPr>
        <w:t>，</w:t>
      </w:r>
      <w:r>
        <w:rPr>
          <w:rFonts w:hint="default" w:ascii="Times New Roman" w:hAnsi="Times New Roman" w:eastAsia="仿宋" w:cs="Times New Roman"/>
          <w:b w:val="0"/>
          <w:bCs w:val="0"/>
          <w:color w:val="auto"/>
          <w:kern w:val="0"/>
          <w:sz w:val="28"/>
          <w:szCs w:val="28"/>
          <w:highlight w:val="none"/>
          <w:lang w:val="en-US" w:eastAsia="zh-CN" w:bidi="ar"/>
        </w:rPr>
        <w:t>由1根15m高的排气筒</w:t>
      </w:r>
      <w:r>
        <w:rPr>
          <w:rFonts w:hint="eastAsia" w:ascii="Times New Roman" w:hAnsi="Times New Roman" w:cs="Times New Roman"/>
          <w:b w:val="0"/>
          <w:bCs w:val="0"/>
          <w:color w:val="auto"/>
          <w:kern w:val="0"/>
          <w:sz w:val="28"/>
          <w:szCs w:val="28"/>
          <w:highlight w:val="none"/>
          <w:lang w:val="en-US" w:eastAsia="zh-CN" w:bidi="ar"/>
        </w:rPr>
        <w:t>排放</w:t>
      </w:r>
      <w:r>
        <w:rPr>
          <w:rFonts w:hint="default" w:ascii="Times New Roman" w:hAnsi="Times New Roman" w:eastAsia="仿宋" w:cs="Times New Roman"/>
          <w:b w:val="0"/>
          <w:bCs w:val="0"/>
          <w:color w:val="auto"/>
          <w:kern w:val="0"/>
          <w:sz w:val="28"/>
          <w:szCs w:val="28"/>
          <w:highlight w:val="none"/>
          <w:lang w:val="en-US" w:eastAsia="zh-CN" w:bidi="ar"/>
        </w:rPr>
        <w:t>。</w:t>
      </w:r>
    </w:p>
    <w:p>
      <w:pPr>
        <w:pStyle w:val="4"/>
        <w:rPr>
          <w:rFonts w:hint="default" w:ascii="Times New Roman" w:hAnsi="Times New Roman" w:cs="Times New Roman"/>
          <w:color w:val="auto"/>
          <w:highlight w:val="none"/>
          <w:lang w:val="en-US" w:eastAsia="zh-CN"/>
        </w:rPr>
      </w:pPr>
      <w:bookmarkStart w:id="200" w:name="_Toc8542"/>
      <w:bookmarkStart w:id="201" w:name="_Toc9411"/>
      <w:bookmarkStart w:id="202" w:name="_Toc22568"/>
      <w:r>
        <w:rPr>
          <w:rFonts w:hint="eastAsia" w:ascii="Times New Roman" w:hAnsi="Times New Roman" w:cs="Times New Roman"/>
          <w:color w:val="auto"/>
          <w:highlight w:val="none"/>
          <w:lang w:val="en-US" w:eastAsia="zh-CN"/>
        </w:rPr>
        <w:t>4.2.4废水污染源分析</w:t>
      </w:r>
      <w:bookmarkEnd w:id="200"/>
      <w:bookmarkEnd w:id="201"/>
      <w:bookmarkEnd w:id="202"/>
    </w:p>
    <w:p>
      <w:pPr>
        <w:pStyle w:val="31"/>
        <w:ind w:firstLine="480" w:firstLineChars="0"/>
        <w:rPr>
          <w:rFonts w:hint="eastAsia" w:ascii="Times New Roman" w:hAnsi="Times New Roman" w:eastAsia="仿宋" w:cs="Times New Roman"/>
          <w:b w:val="0"/>
          <w:bCs w:val="0"/>
          <w:color w:val="auto"/>
          <w:kern w:val="0"/>
          <w:sz w:val="28"/>
          <w:szCs w:val="28"/>
          <w:highlight w:val="none"/>
          <w:lang w:val="en-US" w:eastAsia="zh-CN" w:bidi="ar"/>
        </w:rPr>
      </w:pPr>
      <w:r>
        <w:rPr>
          <w:rFonts w:hint="eastAsia" w:ascii="Times New Roman" w:hAnsi="Times New Roman" w:eastAsia="仿宋" w:cs="Times New Roman"/>
          <w:b w:val="0"/>
          <w:bCs w:val="0"/>
          <w:color w:val="auto"/>
          <w:kern w:val="0"/>
          <w:sz w:val="28"/>
          <w:szCs w:val="28"/>
          <w:highlight w:val="none"/>
          <w:lang w:val="en-US" w:eastAsia="zh-CN" w:bidi="ar"/>
        </w:rPr>
        <w:t>本项目不设办公室、食堂、宿舍以及厕所。运营期废水主要为生产废水，生产废水包括冷却循环水、喷淋洗涤废水和锅炉废水。当日的洗涤废水由第二天生产时打入搅拌釜中当作溶剂用水使用，不外排；锅炉废水由专用桶收集，定期投入搅拌釜中当做溶剂用水使用，不外排。</w:t>
      </w:r>
    </w:p>
    <w:p>
      <w:pPr>
        <w:pStyle w:val="4"/>
        <w:rPr>
          <w:rFonts w:hint="default" w:ascii="Times New Roman" w:hAnsi="Times New Roman" w:cs="Times New Roman"/>
          <w:color w:val="auto"/>
          <w:highlight w:val="none"/>
          <w:lang w:val="en-US" w:eastAsia="zh-CN"/>
        </w:rPr>
      </w:pPr>
      <w:bookmarkStart w:id="203" w:name="_Toc16354"/>
      <w:bookmarkStart w:id="204" w:name="_Toc7603"/>
      <w:bookmarkStart w:id="205" w:name="_Toc27850"/>
      <w:r>
        <w:rPr>
          <w:rFonts w:hint="eastAsia" w:ascii="Times New Roman" w:hAnsi="Times New Roman" w:cs="Times New Roman"/>
          <w:color w:val="auto"/>
          <w:highlight w:val="none"/>
          <w:lang w:val="en-US" w:eastAsia="zh-CN"/>
        </w:rPr>
        <w:t>4.2.5噪声污染源分析</w:t>
      </w:r>
      <w:bookmarkEnd w:id="203"/>
      <w:bookmarkEnd w:id="204"/>
      <w:bookmarkEnd w:id="20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主要噪声源为齿轮泵、搅拌釜和风机等</w:t>
      </w:r>
      <w:r>
        <w:rPr>
          <w:rFonts w:hint="default" w:ascii="Times New Roman" w:hAnsi="Times New Roman" w:cs="Times New Roman"/>
          <w:color w:val="auto"/>
          <w:kern w:val="0"/>
          <w:sz w:val="28"/>
          <w:szCs w:val="28"/>
          <w:highlight w:val="none"/>
          <w:lang w:val="en-US" w:eastAsia="zh-CN" w:bidi="ar"/>
        </w:rPr>
        <w:t>，经</w:t>
      </w:r>
      <w:r>
        <w:rPr>
          <w:rFonts w:hint="eastAsia" w:ascii="Times New Roman" w:hAnsi="Times New Roman" w:cs="Times New Roman"/>
          <w:color w:val="auto"/>
          <w:kern w:val="0"/>
          <w:sz w:val="28"/>
          <w:szCs w:val="28"/>
          <w:highlight w:val="none"/>
          <w:lang w:val="en-US" w:eastAsia="zh-CN" w:bidi="ar"/>
        </w:rPr>
        <w:t>减震、消声、隔音等措施后</w:t>
      </w:r>
      <w:r>
        <w:rPr>
          <w:rFonts w:hint="default" w:ascii="Times New Roman" w:hAnsi="Times New Roman" w:cs="Times New Roman"/>
          <w:color w:val="auto"/>
          <w:kern w:val="0"/>
          <w:sz w:val="28"/>
          <w:szCs w:val="28"/>
          <w:highlight w:val="none"/>
          <w:lang w:val="en-US" w:eastAsia="zh-CN" w:bidi="ar"/>
        </w:rPr>
        <w:t>，厂界外噪声能够满足《工业企业厂界环境噪声排放标准》（GB12348-2008）中</w:t>
      </w:r>
      <w:r>
        <w:rPr>
          <w:rFonts w:hint="eastAsia" w:ascii="Times New Roman" w:hAnsi="Times New Roman" w:cs="Times New Roman"/>
          <w:color w:val="auto"/>
          <w:szCs w:val="21"/>
          <w:lang w:val="en-US" w:eastAsia="zh-CN"/>
        </w:rPr>
        <w:t>2</w:t>
      </w:r>
      <w:r>
        <w:rPr>
          <w:rFonts w:hint="default" w:ascii="Times New Roman" w:hAnsi="Times New Roman" w:cs="Times New Roman"/>
          <w:color w:val="auto"/>
          <w:szCs w:val="21"/>
        </w:rPr>
        <w:t>类</w:t>
      </w:r>
      <w:r>
        <w:rPr>
          <w:rFonts w:hint="default" w:ascii="Times New Roman" w:hAnsi="Times New Roman" w:cs="Times New Roman"/>
          <w:color w:val="auto"/>
          <w:kern w:val="0"/>
          <w:sz w:val="28"/>
          <w:szCs w:val="28"/>
          <w:highlight w:val="none"/>
          <w:lang w:val="en-US" w:eastAsia="zh-CN" w:bidi="ar"/>
        </w:rPr>
        <w:t>标准。</w:t>
      </w:r>
    </w:p>
    <w:p>
      <w:pPr>
        <w:pStyle w:val="4"/>
        <w:rPr>
          <w:rFonts w:hint="default" w:ascii="Times New Roman" w:hAnsi="Times New Roman" w:cs="Times New Roman"/>
          <w:color w:val="auto"/>
          <w:highlight w:val="none"/>
          <w:lang w:val="en-US" w:eastAsia="zh-CN"/>
        </w:rPr>
      </w:pPr>
      <w:bookmarkStart w:id="206" w:name="_Toc31177"/>
      <w:bookmarkStart w:id="207" w:name="_Toc9219"/>
      <w:r>
        <w:rPr>
          <w:rFonts w:hint="eastAsia" w:ascii="Times New Roman" w:hAnsi="Times New Roman" w:cs="Times New Roman"/>
          <w:color w:val="auto"/>
          <w:highlight w:val="none"/>
          <w:lang w:val="en-US" w:eastAsia="zh-CN"/>
        </w:rPr>
        <w:t>4.2.6固废污染源分析</w:t>
      </w:r>
      <w:bookmarkEnd w:id="206"/>
      <w:bookmarkEnd w:id="207"/>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eastAsia" w:ascii="Times New Roman" w:hAnsi="Times New Roman" w:cs="Times New Roman"/>
          <w:color w:val="auto"/>
          <w:kern w:val="0"/>
          <w:sz w:val="28"/>
          <w:szCs w:val="28"/>
          <w:highlight w:val="none"/>
          <w:lang w:val="en-US" w:eastAsia="zh-CN" w:bidi="ar"/>
        </w:rPr>
      </w:pPr>
      <w:bookmarkStart w:id="208" w:name="_Toc2143"/>
      <w:r>
        <w:rPr>
          <w:rFonts w:hint="eastAsia" w:ascii="Times New Roman" w:hAnsi="Times New Roman" w:cs="Times New Roman"/>
          <w:color w:val="auto"/>
          <w:kern w:val="0"/>
          <w:sz w:val="28"/>
          <w:szCs w:val="28"/>
          <w:highlight w:val="none"/>
          <w:lang w:val="en-US" w:eastAsia="zh-CN" w:bidi="ar"/>
        </w:rPr>
        <w:t>主要为生活垃圾、一般工业固废、危险废物。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生活垃圾由当地环卫部门清运处理。一般固废为废包装袋，外售。</w:t>
      </w:r>
    </w:p>
    <w:p>
      <w:pPr>
        <w:rPr>
          <w:rFonts w:hint="eastAsia"/>
          <w:lang w:val="en-US" w:eastAsia="zh-CN"/>
        </w:rPr>
      </w:pPr>
      <w:r>
        <w:rPr>
          <w:rFonts w:hint="eastAsia"/>
          <w:lang w:val="en-US" w:eastAsia="zh-CN"/>
        </w:rPr>
        <w:t>危险废物为废机油，交由资质单位处理。</w:t>
      </w:r>
    </w:p>
    <w:p>
      <w:pPr>
        <w:pStyle w:val="2"/>
        <w:rPr>
          <w:rFonts w:hint="default" w:ascii="Times New Roman" w:hAnsi="Times New Roman" w:cs="Times New Roman"/>
          <w:color w:val="auto"/>
          <w:sz w:val="30"/>
          <w:szCs w:val="30"/>
          <w:lang w:val="en-US" w:eastAsia="zh-CN"/>
        </w:rPr>
      </w:pPr>
      <w:bookmarkStart w:id="209" w:name="_Toc12321"/>
      <w:r>
        <w:rPr>
          <w:rFonts w:hint="default" w:ascii="Times New Roman" w:hAnsi="Times New Roman" w:cs="Times New Roman"/>
          <w:color w:val="auto"/>
          <w:sz w:val="30"/>
          <w:szCs w:val="30"/>
          <w:lang w:val="en-US" w:eastAsia="zh-CN"/>
        </w:rPr>
        <w:t>4.3</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lang w:val="en-US" w:eastAsia="zh-CN"/>
        </w:rPr>
        <w:t>环境风险防控与应急措施</w:t>
      </w:r>
      <w:bookmarkEnd w:id="208"/>
      <w:bookmarkEnd w:id="209"/>
    </w:p>
    <w:p>
      <w:pPr>
        <w:pStyle w:val="4"/>
        <w:rPr>
          <w:rFonts w:hint="default" w:ascii="Times New Roman" w:hAnsi="Times New Roman" w:cs="Times New Roman"/>
          <w:color w:val="auto"/>
          <w:highlight w:val="none"/>
          <w:lang w:val="en-US" w:eastAsia="zh-CN"/>
        </w:rPr>
      </w:pPr>
      <w:bookmarkStart w:id="210" w:name="_Toc7808"/>
      <w:bookmarkStart w:id="211" w:name="_Toc30369"/>
      <w:bookmarkStart w:id="212" w:name="_Toc20303"/>
      <w:r>
        <w:rPr>
          <w:rFonts w:hint="default" w:ascii="Times New Roman" w:hAnsi="Times New Roman" w:cs="Times New Roman"/>
          <w:color w:val="auto"/>
          <w:highlight w:val="none"/>
          <w:lang w:val="en-US" w:eastAsia="zh-CN"/>
        </w:rPr>
        <w:t>4.3.1环境风险防控措施</w:t>
      </w:r>
      <w:bookmarkEnd w:id="210"/>
      <w:bookmarkEnd w:id="211"/>
      <w:bookmarkEnd w:id="21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1、</w:t>
      </w:r>
      <w:r>
        <w:rPr>
          <w:rFonts w:hint="eastAsia" w:ascii="Times New Roman" w:hAnsi="Times New Roman" w:cs="Times New Roman"/>
          <w:color w:val="auto"/>
          <w:lang w:val="en-US" w:eastAsia="zh-CN"/>
        </w:rPr>
        <w:t>危险化学品储存场所、危废暂存间做好防渗，附近严禁烟火，消除一切可能产生火灾的因素</w:t>
      </w:r>
      <w:r>
        <w:rPr>
          <w:rFonts w:hint="default" w:ascii="Times New Roman" w:hAnsi="Times New Roman" w:cs="Times New Roman"/>
          <w:color w:val="auto"/>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2、围绕厂内主要建筑物设消防通道，沿道路遵循有关规定设置消防栓；在总平面布置及土建设计中严格按照《建筑设计防火规范》执行。</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3</w:t>
      </w:r>
      <w:r>
        <w:rPr>
          <w:rFonts w:hint="default" w:ascii="Times New Roman" w:hAnsi="Times New Roman" w:cs="Times New Roman"/>
          <w:color w:val="auto"/>
          <w:lang w:val="en-US" w:eastAsia="zh-CN"/>
        </w:rPr>
        <w:t>、需要防火防爆场所的电器采用防爆、防静电和防雷措施。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4</w:t>
      </w:r>
      <w:r>
        <w:rPr>
          <w:rFonts w:hint="default" w:ascii="Times New Roman" w:hAnsi="Times New Roman" w:cs="Times New Roman"/>
          <w:color w:val="auto"/>
          <w:lang w:val="en-US" w:eastAsia="zh-CN"/>
        </w:rPr>
        <w:t>、在厂区建筑设计时，设置足够数量安全出口，以利于发生火灾时能够迅速安全的疏散人员及器材、物资等。</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5、</w:t>
      </w:r>
      <w:r>
        <w:rPr>
          <w:rFonts w:hint="default" w:ascii="Times New Roman" w:hAnsi="Times New Roman" w:cs="Times New Roman"/>
          <w:color w:val="auto"/>
          <w:lang w:val="en-US" w:eastAsia="zh-CN"/>
        </w:rPr>
        <w:t>在</w:t>
      </w:r>
      <w:r>
        <w:rPr>
          <w:rFonts w:hint="eastAsia" w:ascii="Times New Roman" w:hAnsi="Times New Roman" w:cs="Times New Roman"/>
          <w:color w:val="auto"/>
          <w:lang w:val="en-US" w:eastAsia="zh-CN"/>
        </w:rPr>
        <w:t>天然气储罐区</w:t>
      </w:r>
      <w:r>
        <w:rPr>
          <w:rFonts w:hint="default" w:ascii="Times New Roman" w:hAnsi="Times New Roman" w:cs="Times New Roman"/>
          <w:color w:val="auto"/>
          <w:lang w:val="en-US" w:eastAsia="zh-CN"/>
        </w:rPr>
        <w:t>处安装可燃气体报警器。</w:t>
      </w:r>
    </w:p>
    <w:p>
      <w:pPr>
        <w:pStyle w:val="4"/>
        <w:rPr>
          <w:rFonts w:hint="default" w:ascii="Times New Roman" w:hAnsi="Times New Roman" w:cs="Times New Roman"/>
          <w:color w:val="auto"/>
          <w:lang w:val="en-US" w:eastAsia="zh-CN"/>
        </w:rPr>
      </w:pPr>
      <w:bookmarkStart w:id="213" w:name="_Toc23999"/>
      <w:bookmarkStart w:id="214" w:name="_Toc16460"/>
      <w:bookmarkStart w:id="215" w:name="_Toc32748"/>
      <w:r>
        <w:rPr>
          <w:rFonts w:hint="default" w:ascii="Times New Roman" w:hAnsi="Times New Roman" w:cs="Times New Roman"/>
          <w:color w:val="auto"/>
          <w:lang w:val="en-US" w:eastAsia="zh-CN"/>
        </w:rPr>
        <w:t>4.3.2应急措施</w:t>
      </w:r>
      <w:bookmarkEnd w:id="213"/>
      <w:bookmarkEnd w:id="214"/>
      <w:bookmarkEnd w:id="215"/>
    </w:p>
    <w:p>
      <w:pPr>
        <w:pStyle w:val="17"/>
        <w:keepNext w:val="0"/>
        <w:keepLines w:val="0"/>
        <w:pageBreakBefore w:val="0"/>
        <w:widowControl w:val="0"/>
        <w:kinsoku/>
        <w:wordWrap/>
        <w:overflowPunct/>
        <w:topLinePunct/>
        <w:autoSpaceDE/>
        <w:autoSpaceDN w:val="0"/>
        <w:bidi w:val="0"/>
        <w:adjustRightInd/>
        <w:snapToGrid/>
        <w:spacing w:beforeAutospacing="0" w:afterAutospacing="0" w:line="360" w:lineRule="auto"/>
        <w:ind w:firstLine="562" w:firstLineChars="200"/>
        <w:jc w:val="left"/>
        <w:textAlignment w:val="auto"/>
        <w:outlineLvl w:val="9"/>
        <w:rPr>
          <w:rFonts w:hint="eastAsia" w:ascii="Times New Roman" w:hAnsi="Times New Roman" w:eastAsia="仿宋" w:cs="Times New Roman"/>
          <w:b/>
          <w:bCs/>
          <w:color w:val="auto"/>
          <w:kern w:val="2"/>
          <w:sz w:val="28"/>
          <w:szCs w:val="24"/>
          <w:lang w:val="en-US" w:eastAsia="zh-CN" w:bidi="ar-SA"/>
        </w:rPr>
      </w:pPr>
      <w:r>
        <w:rPr>
          <w:rFonts w:hint="eastAsia" w:ascii="Times New Roman" w:hAnsi="Times New Roman" w:eastAsia="仿宋" w:cs="Times New Roman"/>
          <w:b/>
          <w:bCs/>
          <w:color w:val="auto"/>
          <w:kern w:val="2"/>
          <w:sz w:val="28"/>
          <w:szCs w:val="24"/>
          <w:lang w:val="en-US" w:eastAsia="zh-CN" w:bidi="ar-SA"/>
        </w:rPr>
        <w:t>（一）危险化学品和危险废物泄漏事故防范措施</w:t>
      </w:r>
    </w:p>
    <w:p>
      <w:pPr>
        <w:pStyle w:val="17"/>
        <w:keepNext w:val="0"/>
        <w:keepLines w:val="0"/>
        <w:pageBreakBefore w:val="0"/>
        <w:widowControl w:val="0"/>
        <w:kinsoku/>
        <w:wordWrap/>
        <w:overflowPunct/>
        <w:topLinePunct/>
        <w:autoSpaceDE/>
        <w:autoSpaceDN w:val="0"/>
        <w:bidi w:val="0"/>
        <w:adjustRightInd/>
        <w:snapToGrid/>
        <w:spacing w:beforeAutospacing="0" w:afterAutospacing="0" w:line="360" w:lineRule="auto"/>
        <w:textAlignment w:val="auto"/>
        <w:outlineLvl w:val="9"/>
        <w:rPr>
          <w:rFonts w:hint="eastAsia" w:ascii="Times New Roman" w:hAnsi="Times New Roman" w:eastAsia="仿宋" w:cs="Times New Roman"/>
          <w:color w:val="auto"/>
          <w:kern w:val="2"/>
          <w:sz w:val="28"/>
          <w:szCs w:val="24"/>
          <w:lang w:val="en-US" w:eastAsia="zh-CN" w:bidi="ar-SA"/>
        </w:rPr>
      </w:pPr>
      <w:r>
        <w:rPr>
          <w:rFonts w:hint="eastAsia" w:ascii="Times New Roman" w:hAnsi="Times New Roman" w:eastAsia="仿宋" w:cs="Times New Roman"/>
          <w:color w:val="auto"/>
          <w:kern w:val="2"/>
          <w:sz w:val="28"/>
          <w:szCs w:val="24"/>
          <w:lang w:val="en-US" w:eastAsia="zh-CN" w:bidi="ar-SA"/>
        </w:rPr>
        <w:t xml:space="preserve">   （1）公司将危险废物和危险化学品的贮存和经营纳入日常的环境安全管理，定期或不定期实施环境安全检查，发现隐患及时整改；</w:t>
      </w:r>
    </w:p>
    <w:p>
      <w:pPr>
        <w:pStyle w:val="17"/>
        <w:keepNext w:val="0"/>
        <w:keepLines w:val="0"/>
        <w:pageBreakBefore w:val="0"/>
        <w:widowControl w:val="0"/>
        <w:kinsoku/>
        <w:wordWrap/>
        <w:overflowPunct/>
        <w:topLinePunct/>
        <w:autoSpaceDE/>
        <w:autoSpaceDN w:val="0"/>
        <w:bidi w:val="0"/>
        <w:adjustRightInd/>
        <w:snapToGrid/>
        <w:spacing w:beforeAutospacing="0" w:afterAutospacing="0" w:line="360" w:lineRule="auto"/>
        <w:jc w:val="left"/>
        <w:textAlignment w:val="auto"/>
        <w:outlineLvl w:val="9"/>
        <w:rPr>
          <w:rFonts w:hint="eastAsia" w:ascii="Times New Roman" w:hAnsi="Times New Roman" w:eastAsia="仿宋" w:cs="Times New Roman"/>
          <w:color w:val="auto"/>
          <w:kern w:val="2"/>
          <w:sz w:val="28"/>
          <w:szCs w:val="24"/>
          <w:lang w:val="en-US" w:eastAsia="zh-CN" w:bidi="ar-SA"/>
        </w:rPr>
      </w:pPr>
      <w:r>
        <w:rPr>
          <w:rFonts w:hint="eastAsia" w:ascii="Times New Roman" w:hAnsi="Times New Roman" w:eastAsia="仿宋" w:cs="Times New Roman"/>
          <w:color w:val="auto"/>
          <w:kern w:val="2"/>
          <w:sz w:val="28"/>
          <w:szCs w:val="24"/>
          <w:lang w:val="en-US" w:eastAsia="zh-CN" w:bidi="ar-SA"/>
        </w:rPr>
        <w:t xml:space="preserve">   （2）危险废物、危险化学品库悬挂名称、理化特性、健康危害、应急处理措施和注意防护事项等；</w:t>
      </w:r>
    </w:p>
    <w:p>
      <w:pPr>
        <w:pStyle w:val="17"/>
        <w:keepNext w:val="0"/>
        <w:keepLines w:val="0"/>
        <w:pageBreakBefore w:val="0"/>
        <w:widowControl w:val="0"/>
        <w:kinsoku/>
        <w:wordWrap/>
        <w:overflowPunct/>
        <w:topLinePunct/>
        <w:autoSpaceDE/>
        <w:autoSpaceDN w:val="0"/>
        <w:bidi w:val="0"/>
        <w:adjustRightInd/>
        <w:snapToGrid/>
        <w:spacing w:beforeAutospacing="0" w:afterAutospacing="0" w:line="360" w:lineRule="auto"/>
        <w:textAlignment w:val="auto"/>
        <w:outlineLvl w:val="9"/>
        <w:rPr>
          <w:rFonts w:hint="eastAsia" w:ascii="Times New Roman" w:hAnsi="Times New Roman" w:eastAsia="仿宋" w:cs="Times New Roman"/>
          <w:color w:val="auto"/>
          <w:kern w:val="2"/>
          <w:sz w:val="28"/>
          <w:szCs w:val="24"/>
          <w:lang w:val="en-US" w:eastAsia="zh-CN" w:bidi="ar-SA"/>
        </w:rPr>
      </w:pPr>
      <w:r>
        <w:rPr>
          <w:rFonts w:hint="eastAsia" w:ascii="Times New Roman" w:hAnsi="Times New Roman" w:eastAsia="仿宋" w:cs="Times New Roman"/>
          <w:color w:val="auto"/>
          <w:kern w:val="2"/>
          <w:sz w:val="28"/>
          <w:szCs w:val="24"/>
          <w:lang w:val="en-US" w:eastAsia="zh-CN" w:bidi="ar-SA"/>
        </w:rPr>
        <w:t xml:space="preserve">   （</w:t>
      </w:r>
      <w:r>
        <w:rPr>
          <w:rFonts w:hint="eastAsia" w:ascii="Times New Roman" w:hAnsi="Times New Roman" w:cs="Times New Roman"/>
          <w:color w:val="auto"/>
          <w:kern w:val="2"/>
          <w:sz w:val="28"/>
          <w:szCs w:val="24"/>
          <w:lang w:val="en-US" w:eastAsia="zh-CN" w:bidi="ar-SA"/>
        </w:rPr>
        <w:t>3</w:t>
      </w:r>
      <w:r>
        <w:rPr>
          <w:rFonts w:hint="eastAsia" w:ascii="Times New Roman" w:hAnsi="Times New Roman" w:eastAsia="仿宋" w:cs="Times New Roman"/>
          <w:color w:val="auto"/>
          <w:kern w:val="2"/>
          <w:sz w:val="28"/>
          <w:szCs w:val="24"/>
          <w:lang w:val="en-US" w:eastAsia="zh-CN" w:bidi="ar-SA"/>
        </w:rPr>
        <w:t>）安环部管理人员每天对现场实施巡检，发现异常情况及时处置；</w:t>
      </w:r>
    </w:p>
    <w:p>
      <w:pPr>
        <w:keepNext w:val="0"/>
        <w:keepLines w:val="0"/>
        <w:pageBreakBefore w:val="0"/>
        <w:widowControl w:val="0"/>
        <w:kinsoku/>
        <w:wordWrap/>
        <w:overflowPunct/>
        <w:autoSpaceDE/>
        <w:bidi w:val="0"/>
        <w:adjustRightInd/>
        <w:snapToGrid/>
        <w:spacing w:beforeAutospacing="0" w:afterAutospacing="0"/>
        <w:textAlignment w:val="auto"/>
        <w:outlineLvl w:val="9"/>
        <w:rPr>
          <w:rFonts w:hint="eastAsia" w:ascii="Times New Roman" w:hAnsi="Times New Roman" w:eastAsia="仿宋" w:cs="Times New Roman"/>
          <w:color w:val="auto"/>
          <w:kern w:val="2"/>
          <w:sz w:val="28"/>
          <w:szCs w:val="24"/>
          <w:lang w:val="en-US" w:eastAsia="zh-CN" w:bidi="ar-SA"/>
        </w:rPr>
      </w:pPr>
      <w:r>
        <w:rPr>
          <w:rFonts w:hint="eastAsia" w:ascii="Times New Roman" w:hAnsi="Times New Roman" w:eastAsia="仿宋" w:cs="Times New Roman"/>
          <w:color w:val="auto"/>
          <w:kern w:val="2"/>
          <w:sz w:val="28"/>
          <w:szCs w:val="24"/>
          <w:lang w:val="en-US" w:eastAsia="zh-CN" w:bidi="ar-SA"/>
        </w:rPr>
        <w:t xml:space="preserve">   （</w:t>
      </w:r>
      <w:r>
        <w:rPr>
          <w:rFonts w:hint="eastAsia" w:ascii="Times New Roman" w:hAnsi="Times New Roman" w:cs="Times New Roman"/>
          <w:color w:val="auto"/>
          <w:kern w:val="2"/>
          <w:sz w:val="28"/>
          <w:szCs w:val="24"/>
          <w:lang w:val="en-US" w:eastAsia="zh-CN" w:bidi="ar-SA"/>
        </w:rPr>
        <w:t>4</w:t>
      </w:r>
      <w:r>
        <w:rPr>
          <w:rFonts w:hint="eastAsia" w:ascii="Times New Roman" w:hAnsi="Times New Roman" w:eastAsia="仿宋" w:cs="Times New Roman"/>
          <w:color w:val="auto"/>
          <w:kern w:val="2"/>
          <w:sz w:val="28"/>
          <w:szCs w:val="24"/>
          <w:lang w:val="en-US" w:eastAsia="zh-CN" w:bidi="ar-SA"/>
        </w:rPr>
        <w:t>）公司针对危险废物、危险化学品的环境风险特征，准备应急物资，如堵漏装置、收集装置、吸附材料、防毒面具、消防器材等。</w:t>
      </w:r>
    </w:p>
    <w:p>
      <w:pPr>
        <w:ind w:firstLine="562" w:firstLineChars="200"/>
        <w:rPr>
          <w:rFonts w:hint="default" w:ascii="Times New Roman" w:hAnsi="Times New Roman" w:cs="Times New Roman"/>
          <w:b/>
          <w:bCs/>
          <w:color w:val="auto"/>
        </w:rPr>
      </w:pPr>
      <w:bookmarkStart w:id="216" w:name="_Toc26846"/>
      <w:bookmarkStart w:id="217" w:name="_Toc18149"/>
      <w:r>
        <w:rPr>
          <w:rFonts w:hint="eastAsia" w:ascii="Times New Roman" w:hAnsi="Times New Roman" w:cs="Times New Roman"/>
          <w:b/>
          <w:bCs/>
          <w:color w:val="auto"/>
          <w:lang w:val="en-US" w:eastAsia="zh-CN"/>
        </w:rPr>
        <w:t>（二）</w:t>
      </w:r>
      <w:bookmarkStart w:id="218" w:name="OLE_LINK31"/>
      <w:bookmarkStart w:id="219" w:name="OLE_LINK27"/>
      <w:r>
        <w:rPr>
          <w:rFonts w:hint="eastAsia" w:ascii="Times New Roman" w:hAnsi="Times New Roman" w:cs="Times New Roman"/>
          <w:b/>
          <w:bCs/>
          <w:color w:val="auto"/>
          <w:lang w:val="en-US" w:eastAsia="zh-CN"/>
        </w:rPr>
        <w:t>火灾事故应急处置措施</w:t>
      </w:r>
      <w:bookmarkEnd w:id="216"/>
      <w:bookmarkEnd w:id="217"/>
      <w:bookmarkEnd w:id="218"/>
      <w:bookmarkEnd w:id="219"/>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（1）</w:t>
      </w:r>
      <w:r>
        <w:rPr>
          <w:rFonts w:hint="default" w:ascii="Times New Roman" w:hAnsi="Times New Roman" w:cs="Times New Roman"/>
          <w:color w:val="auto"/>
          <w:lang w:eastAsia="zh-CN"/>
        </w:rPr>
        <w:t>公司</w:t>
      </w:r>
      <w:r>
        <w:rPr>
          <w:rFonts w:hint="default" w:ascii="Times New Roman" w:hAnsi="Times New Roman" w:cs="Times New Roman"/>
          <w:color w:val="auto"/>
        </w:rPr>
        <w:t>人员发现着火点，</w:t>
      </w:r>
      <w:r>
        <w:rPr>
          <w:rFonts w:hint="default" w:ascii="Times New Roman" w:hAnsi="Times New Roman" w:cs="Times New Roman"/>
          <w:color w:val="auto"/>
          <w:lang w:eastAsia="zh-CN"/>
        </w:rPr>
        <w:t>立即</w:t>
      </w:r>
      <w:r>
        <w:rPr>
          <w:rFonts w:hint="default" w:ascii="Times New Roman" w:hAnsi="Times New Roman" w:cs="Times New Roman"/>
          <w:color w:val="auto"/>
        </w:rPr>
        <w:t>向应急值班室</w:t>
      </w:r>
      <w:r>
        <w:rPr>
          <w:rFonts w:hint="eastAsia" w:ascii="Times New Roman" w:hAnsi="Times New Roman" w:cs="Times New Roman"/>
          <w:color w:val="auto"/>
          <w:lang w:eastAsia="zh-CN"/>
        </w:rPr>
        <w:t>以及四邻</w:t>
      </w:r>
      <w:r>
        <w:rPr>
          <w:rFonts w:hint="default" w:ascii="Times New Roman" w:hAnsi="Times New Roman" w:cs="Times New Roman"/>
          <w:color w:val="auto"/>
        </w:rPr>
        <w:t>报告，公司应急值班电话接电火灾报警</w:t>
      </w:r>
      <w:r>
        <w:rPr>
          <w:rFonts w:hint="default" w:ascii="Times New Roman" w:hAnsi="Times New Roman" w:cs="Times New Roman"/>
          <w:color w:val="auto"/>
          <w:lang w:eastAsia="zh-CN"/>
        </w:rPr>
        <w:t>，并通知生产车间停止所有设备运行</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（2）</w:t>
      </w:r>
      <w:r>
        <w:rPr>
          <w:rFonts w:hint="default" w:ascii="Times New Roman" w:hAnsi="Times New Roman" w:cs="Times New Roman"/>
          <w:color w:val="auto"/>
          <w:lang w:eastAsia="zh-CN"/>
        </w:rPr>
        <w:t>迅速通知现场和周围切断电源、明火源，停止和严禁动火</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ascii="Times New Roman" w:hAnsi="Times New Roman" w:eastAsia="仿宋" w:cs="Times New Roman"/>
          <w:color w:val="auto"/>
          <w:lang w:eastAsia="zh-CN"/>
        </w:rPr>
      </w:pPr>
      <w:r>
        <w:rPr>
          <w:rFonts w:hint="default" w:ascii="Times New Roman" w:hAnsi="Times New Roman" w:cs="Times New Roman"/>
          <w:color w:val="auto"/>
        </w:rPr>
        <w:t>（</w:t>
      </w:r>
      <w:r>
        <w:rPr>
          <w:rFonts w:hint="default" w:ascii="Times New Roman" w:hAnsi="Times New Roman" w:cs="Times New Roman"/>
          <w:color w:val="auto"/>
          <w:lang w:val="en-US" w:eastAsia="zh-CN"/>
        </w:rPr>
        <w:t>3</w:t>
      </w:r>
      <w:r>
        <w:rPr>
          <w:rFonts w:hint="default" w:ascii="Times New Roman" w:hAnsi="Times New Roman" w:cs="Times New Roman"/>
          <w:color w:val="auto"/>
        </w:rPr>
        <w:t>）报警后，</w:t>
      </w:r>
      <w:r>
        <w:rPr>
          <w:rFonts w:hint="eastAsia" w:ascii="Times New Roman" w:hAnsi="Times New Roman" w:cs="Times New Roman"/>
          <w:color w:val="auto"/>
          <w:lang w:eastAsia="zh-CN"/>
        </w:rPr>
        <w:t>应急</w:t>
      </w:r>
      <w:r>
        <w:rPr>
          <w:rFonts w:hint="default" w:ascii="Times New Roman" w:hAnsi="Times New Roman" w:cs="Times New Roman"/>
          <w:color w:val="auto"/>
          <w:lang w:eastAsia="zh-CN"/>
        </w:rPr>
        <w:t>保障组</w:t>
      </w:r>
      <w:r>
        <w:rPr>
          <w:rFonts w:hint="default" w:ascii="Times New Roman" w:hAnsi="Times New Roman" w:cs="Times New Roman"/>
          <w:color w:val="auto"/>
        </w:rPr>
        <w:t>指派人员在主要路口引导外来应急车辆</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4</w:t>
      </w:r>
      <w:r>
        <w:rPr>
          <w:rFonts w:hint="default" w:ascii="Times New Roman" w:hAnsi="Times New Roman" w:cs="Times New Roman"/>
          <w:color w:val="auto"/>
        </w:rPr>
        <w:t>）消防人员到达</w:t>
      </w:r>
      <w:r>
        <w:rPr>
          <w:rFonts w:hint="default" w:ascii="Times New Roman" w:hAnsi="Times New Roman" w:cs="Times New Roman"/>
          <w:color w:val="auto"/>
          <w:lang w:eastAsia="zh-CN"/>
        </w:rPr>
        <w:t>厂区</w:t>
      </w:r>
      <w:r>
        <w:rPr>
          <w:rFonts w:hint="default" w:ascii="Times New Roman" w:hAnsi="Times New Roman" w:cs="Times New Roman"/>
          <w:color w:val="auto"/>
        </w:rPr>
        <w:t>后，应急现场指挥部调动</w:t>
      </w:r>
      <w:r>
        <w:rPr>
          <w:rFonts w:hint="default" w:ascii="Times New Roman" w:hAnsi="Times New Roman" w:cs="Times New Roman"/>
          <w:color w:val="auto"/>
          <w:lang w:eastAsia="zh-CN"/>
        </w:rPr>
        <w:t>公司</w:t>
      </w:r>
      <w:r>
        <w:rPr>
          <w:rFonts w:hint="default" w:ascii="Times New Roman" w:hAnsi="Times New Roman" w:cs="Times New Roman"/>
          <w:color w:val="auto"/>
        </w:rPr>
        <w:t>力量积极配合应急工作</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5</w:t>
      </w:r>
      <w:r>
        <w:rPr>
          <w:rFonts w:hint="default" w:ascii="Times New Roman" w:hAnsi="Times New Roman" w:cs="Times New Roman"/>
          <w:color w:val="auto"/>
        </w:rPr>
        <w:t>）</w:t>
      </w:r>
      <w:r>
        <w:rPr>
          <w:rFonts w:hint="eastAsia" w:ascii="Times New Roman" w:hAnsi="Times New Roman" w:cs="Times New Roman"/>
          <w:color w:val="auto"/>
          <w:lang w:eastAsia="zh-CN"/>
        </w:rPr>
        <w:t>应急保障组</w:t>
      </w:r>
      <w:r>
        <w:rPr>
          <w:rFonts w:hint="default" w:ascii="Times New Roman" w:hAnsi="Times New Roman" w:cs="Times New Roman"/>
          <w:color w:val="auto"/>
        </w:rPr>
        <w:t>指挥</w:t>
      </w:r>
      <w:r>
        <w:rPr>
          <w:rFonts w:hint="default" w:ascii="Times New Roman" w:hAnsi="Times New Roman" w:cs="Times New Roman"/>
          <w:color w:val="auto"/>
          <w:lang w:eastAsia="zh-CN"/>
        </w:rPr>
        <w:t>公司</w:t>
      </w:r>
      <w:r>
        <w:rPr>
          <w:rFonts w:hint="default" w:ascii="Times New Roman" w:hAnsi="Times New Roman" w:cs="Times New Roman"/>
          <w:color w:val="auto"/>
        </w:rPr>
        <w:t>所有非应急人员按照预定的路线撤离至指定的安全区域。到达安全区域的非应急人员未经许可不得擅自进入灭火现场</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6</w:t>
      </w:r>
      <w:r>
        <w:rPr>
          <w:rFonts w:hint="default" w:ascii="Times New Roman" w:hAnsi="Times New Roman" w:cs="Times New Roman"/>
          <w:color w:val="auto"/>
        </w:rPr>
        <w:t>）发现有人被困在危险场所时，应立即向公安消防人员报告，协助救出被困人员</w:t>
      </w:r>
      <w:r>
        <w:rPr>
          <w:rFonts w:hint="eastAsia"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highlight w:val="none"/>
          <w:lang w:val="en-US" w:eastAsia="zh-CN"/>
        </w:rPr>
      </w:pPr>
      <w:r>
        <w:rPr>
          <w:rFonts w:hint="default" w:ascii="Times New Roman" w:hAnsi="Times New Roman" w:cs="Times New Roman"/>
          <w:color w:val="auto"/>
        </w:rPr>
        <w:t>（</w:t>
      </w:r>
      <w:r>
        <w:rPr>
          <w:rFonts w:hint="default" w:ascii="Times New Roman" w:hAnsi="Times New Roman" w:cs="Times New Roman"/>
          <w:color w:val="auto"/>
          <w:lang w:val="en-US" w:eastAsia="zh-CN"/>
        </w:rPr>
        <w:t>7</w:t>
      </w:r>
      <w:r>
        <w:rPr>
          <w:rFonts w:hint="default" w:ascii="Times New Roman" w:hAnsi="Times New Roman" w:cs="Times New Roman"/>
          <w:color w:val="auto"/>
        </w:rPr>
        <w:t>）当火势逼近危险</w:t>
      </w:r>
      <w:r>
        <w:rPr>
          <w:rFonts w:hint="default" w:ascii="Times New Roman" w:hAnsi="Times New Roman" w:cs="Times New Roman"/>
          <w:color w:val="auto"/>
          <w:lang w:eastAsia="zh-CN"/>
        </w:rPr>
        <w:t>废物</w:t>
      </w:r>
      <w:r>
        <w:rPr>
          <w:rFonts w:hint="default" w:ascii="Times New Roman" w:hAnsi="Times New Roman" w:cs="Times New Roman"/>
          <w:color w:val="auto"/>
        </w:rPr>
        <w:t>的贮存场所时，</w:t>
      </w:r>
      <w:r>
        <w:rPr>
          <w:rFonts w:hint="eastAsia" w:ascii="Times New Roman" w:hAnsi="Times New Roman" w:cs="Times New Roman"/>
          <w:color w:val="auto"/>
          <w:lang w:eastAsia="zh-CN"/>
        </w:rPr>
        <w:t>现场</w:t>
      </w:r>
      <w:r>
        <w:rPr>
          <w:rFonts w:hint="default" w:ascii="Times New Roman" w:hAnsi="Times New Roman" w:cs="Times New Roman"/>
          <w:color w:val="auto"/>
        </w:rPr>
        <w:t>处置组在确保自身安全的前提下，应尽快</w:t>
      </w:r>
      <w:r>
        <w:rPr>
          <w:rFonts w:hint="default" w:ascii="Times New Roman" w:hAnsi="Times New Roman" w:cs="Times New Roman"/>
          <w:color w:val="auto"/>
          <w:lang w:eastAsia="zh-CN"/>
        </w:rPr>
        <w:t>清理危险废物</w:t>
      </w:r>
      <w:r>
        <w:rPr>
          <w:rFonts w:hint="default" w:ascii="Times New Roman" w:hAnsi="Times New Roman" w:cs="Times New Roman"/>
          <w:color w:val="auto"/>
        </w:rPr>
        <w:t>至安全区域。</w:t>
      </w:r>
    </w:p>
    <w:p>
      <w:pPr>
        <w:ind w:firstLine="281" w:firstLineChars="100"/>
        <w:rPr>
          <w:rFonts w:hint="default" w:ascii="Times New Roman" w:hAnsi="Times New Roman" w:cs="Times New Roman"/>
          <w:b/>
          <w:bCs/>
          <w:color w:val="auto"/>
          <w:lang w:val="en-US" w:eastAsia="zh-CN"/>
        </w:rPr>
      </w:pPr>
      <w:bookmarkStart w:id="220" w:name="_Toc14056"/>
      <w:bookmarkStart w:id="221" w:name="OLE_LINK32"/>
      <w:bookmarkStart w:id="222" w:name="_Toc4520"/>
      <w:bookmarkStart w:id="223" w:name="_Toc22893"/>
      <w:bookmarkStart w:id="224" w:name="_Toc3437"/>
      <w:bookmarkStart w:id="225" w:name="OLE_LINK29"/>
      <w:r>
        <w:rPr>
          <w:rFonts w:hint="eastAsia" w:ascii="Times New Roman" w:hAnsi="Times New Roman" w:cs="Times New Roman"/>
          <w:b/>
          <w:bCs/>
          <w:color w:val="auto"/>
          <w:lang w:val="en-US" w:eastAsia="zh-CN"/>
        </w:rPr>
        <w:t>（三）</w:t>
      </w:r>
      <w:r>
        <w:rPr>
          <w:rFonts w:hint="default" w:ascii="Times New Roman" w:hAnsi="Times New Roman" w:cs="Times New Roman"/>
          <w:b/>
          <w:bCs/>
          <w:color w:val="auto"/>
          <w:lang w:val="en-US" w:eastAsia="zh-CN"/>
        </w:rPr>
        <w:t>消防废水现场处置措施</w:t>
      </w:r>
      <w:bookmarkEnd w:id="220"/>
      <w:bookmarkEnd w:id="221"/>
      <w:bookmarkEnd w:id="222"/>
      <w:bookmarkEnd w:id="223"/>
      <w:bookmarkEnd w:id="224"/>
      <w:bookmarkEnd w:id="225"/>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bookmarkStart w:id="226" w:name="OLE_LINK30"/>
      <w:bookmarkStart w:id="227" w:name="_Toc4570"/>
      <w:bookmarkStart w:id="228" w:name="_Toc25466"/>
      <w:bookmarkStart w:id="229" w:name="_Toc7306"/>
      <w:bookmarkStart w:id="230" w:name="OLE_LINK56"/>
      <w:r>
        <w:rPr>
          <w:rFonts w:hint="default" w:ascii="Times New Roman" w:hAnsi="Times New Roman" w:eastAsia="仿宋" w:cs="Times New Roman"/>
          <w:color w:val="auto"/>
          <w:sz w:val="28"/>
          <w:szCs w:val="28"/>
          <w:highlight w:val="none"/>
        </w:rPr>
        <w:t>当灭火废水含有危险物质或危险废物时，</w:t>
      </w:r>
      <w:r>
        <w:rPr>
          <w:rFonts w:hint="default" w:ascii="Times New Roman" w:hAnsi="Times New Roman" w:cs="Times New Roman"/>
          <w:color w:val="auto"/>
          <w:sz w:val="28"/>
          <w:szCs w:val="28"/>
          <w:highlight w:val="none"/>
          <w:lang w:eastAsia="zh-CN"/>
        </w:rPr>
        <w:t>现场</w:t>
      </w:r>
      <w:r>
        <w:rPr>
          <w:rFonts w:hint="default" w:ascii="Times New Roman" w:hAnsi="Times New Roman" w:eastAsia="仿宋" w:cs="Times New Roman"/>
          <w:color w:val="auto"/>
          <w:sz w:val="28"/>
          <w:szCs w:val="28"/>
          <w:highlight w:val="none"/>
        </w:rPr>
        <w:t>处置组应尽快采取相应的措施，防止水体污染，主要措施包括：</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eastAsia" w:ascii="Times New Roman" w:hAnsi="Times New Roman" w:eastAsia="仿宋"/>
          <w:color w:val="auto"/>
          <w:kern w:val="0"/>
          <w:sz w:val="28"/>
          <w:szCs w:val="28"/>
          <w:lang w:bidi="ar"/>
        </w:rPr>
        <w:t>（1）</w:t>
      </w:r>
      <w:r>
        <w:rPr>
          <w:rFonts w:hint="eastAsia" w:ascii="Times New Roman" w:hAnsi="Times New Roman"/>
          <w:color w:val="auto"/>
          <w:kern w:val="0"/>
          <w:sz w:val="28"/>
          <w:szCs w:val="28"/>
          <w:lang w:eastAsia="zh-CN" w:bidi="ar"/>
        </w:rPr>
        <w:t>在地势低洼处，</w:t>
      </w:r>
      <w:r>
        <w:rPr>
          <w:rFonts w:hint="default" w:ascii="Times New Roman" w:hAnsi="Times New Roman" w:eastAsia="仿宋" w:cs="Times New Roman"/>
          <w:color w:val="auto"/>
          <w:sz w:val="28"/>
          <w:szCs w:val="28"/>
          <w:highlight w:val="none"/>
        </w:rPr>
        <w:t>利用防洪沙袋堵截</w:t>
      </w:r>
      <w:r>
        <w:rPr>
          <w:rFonts w:hint="default" w:ascii="Times New Roman" w:hAnsi="Times New Roman"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right="0" w:rightChars="0" w:firstLine="280" w:firstLineChars="100"/>
        <w:jc w:val="both"/>
        <w:textAlignment w:val="auto"/>
        <w:outlineLvl w:val="9"/>
        <w:rPr>
          <w:rFonts w:hint="default" w:ascii="Times New Roman" w:hAnsi="Times New Roman"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（2）将拦截的污水</w:t>
      </w:r>
      <w:r>
        <w:rPr>
          <w:rFonts w:hint="eastAsia" w:ascii="Times New Roman" w:hAnsi="Times New Roman" w:cs="Times New Roman"/>
          <w:color w:val="auto"/>
          <w:sz w:val="28"/>
          <w:szCs w:val="28"/>
          <w:highlight w:val="none"/>
          <w:lang w:eastAsia="zh-CN"/>
        </w:rPr>
        <w:t>用水泵抽到</w:t>
      </w:r>
      <w:r>
        <w:rPr>
          <w:rFonts w:hint="eastAsia" w:ascii="Times New Roman" w:hAnsi="Times New Roman" w:cs="Times New Roman"/>
          <w:color w:val="auto"/>
          <w:highlight w:val="none"/>
          <w:lang w:eastAsia="zh-CN"/>
        </w:rPr>
        <w:t>事故池</w:t>
      </w:r>
      <w:r>
        <w:rPr>
          <w:rFonts w:hint="default" w:ascii="Times New Roman" w:hAnsi="Times New Roman" w:cs="Times New Roman"/>
          <w:color w:val="auto"/>
          <w:highlight w:val="none"/>
          <w:lang w:eastAsia="zh-CN"/>
        </w:rPr>
        <w:t>，添加相关药剂处理，同时</w:t>
      </w:r>
      <w:r>
        <w:rPr>
          <w:rFonts w:hint="eastAsia" w:ascii="Times New Roman" w:hAnsi="Times New Roman" w:cs="Times New Roman"/>
          <w:color w:val="auto"/>
          <w:highlight w:val="none"/>
          <w:lang w:eastAsia="zh-CN"/>
        </w:rPr>
        <w:t>用围堰</w:t>
      </w:r>
      <w:r>
        <w:rPr>
          <w:rFonts w:hint="default" w:ascii="Times New Roman" w:hAnsi="Times New Roman" w:cs="Times New Roman"/>
          <w:color w:val="auto"/>
          <w:highlight w:val="none"/>
          <w:lang w:eastAsia="zh-CN"/>
        </w:rPr>
        <w:t>进行拦截，避免消防水进一步扩散，及时</w:t>
      </w:r>
      <w:r>
        <w:rPr>
          <w:rFonts w:hint="default" w:ascii="Times New Roman" w:hAnsi="Times New Roman" w:cs="Times New Roman"/>
          <w:color w:val="auto"/>
          <w:sz w:val="28"/>
          <w:szCs w:val="28"/>
          <w:highlight w:val="none"/>
          <w:lang w:eastAsia="zh-CN"/>
        </w:rPr>
        <w:t>联系</w:t>
      </w:r>
      <w:r>
        <w:rPr>
          <w:rFonts w:hint="eastAsia" w:ascii="Times New Roman" w:hAnsi="Times New Roman" w:cs="Times New Roman"/>
          <w:color w:val="auto"/>
          <w:sz w:val="28"/>
          <w:szCs w:val="28"/>
          <w:highlight w:val="none"/>
          <w:lang w:eastAsia="zh-CN"/>
        </w:rPr>
        <w:t>第三方检测机构</w:t>
      </w:r>
      <w:r>
        <w:rPr>
          <w:rFonts w:hint="default" w:ascii="Times New Roman" w:hAnsi="Times New Roman" w:eastAsia="仿宋" w:cs="Times New Roman"/>
          <w:color w:val="auto"/>
          <w:sz w:val="28"/>
          <w:szCs w:val="28"/>
          <w:highlight w:val="none"/>
        </w:rPr>
        <w:t>对</w:t>
      </w:r>
      <w:r>
        <w:rPr>
          <w:rFonts w:hint="default" w:ascii="Times New Roman" w:hAnsi="Times New Roman" w:cs="Times New Roman"/>
          <w:color w:val="auto"/>
          <w:sz w:val="28"/>
          <w:szCs w:val="28"/>
          <w:highlight w:val="none"/>
          <w:lang w:eastAsia="zh-CN"/>
        </w:rPr>
        <w:t>废水</w:t>
      </w:r>
      <w:r>
        <w:rPr>
          <w:rFonts w:hint="default" w:ascii="Times New Roman" w:hAnsi="Times New Roman" w:eastAsia="仿宋" w:cs="Times New Roman"/>
          <w:color w:val="auto"/>
          <w:sz w:val="28"/>
          <w:szCs w:val="28"/>
          <w:highlight w:val="none"/>
        </w:rPr>
        <w:t>进行取样分析，以便调整废水处理方法，确保达标排放</w:t>
      </w:r>
      <w:r>
        <w:rPr>
          <w:rFonts w:hint="default" w:ascii="Times New Roman" w:hAnsi="Times New Roman"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（3）注意现场污水的流向和收集</w:t>
      </w:r>
      <w:r>
        <w:rPr>
          <w:rFonts w:hint="default" w:ascii="Times New Roman" w:hAnsi="Times New Roman" w:eastAsia="仿宋"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（4）抢险过程中，</w:t>
      </w:r>
      <w:r>
        <w:rPr>
          <w:rFonts w:hint="eastAsia" w:ascii="Times New Roman" w:hAnsi="Times New Roman" w:eastAsia="仿宋" w:cs="Times New Roman"/>
          <w:color w:val="auto"/>
          <w:sz w:val="28"/>
          <w:szCs w:val="28"/>
          <w:highlight w:val="none"/>
          <w:lang w:eastAsia="zh-CN"/>
        </w:rPr>
        <w:t>事故救援组</w:t>
      </w:r>
      <w:r>
        <w:rPr>
          <w:rFonts w:hint="default" w:ascii="Times New Roman" w:hAnsi="Times New Roman" w:eastAsia="仿宋" w:cs="Times New Roman"/>
          <w:color w:val="auto"/>
          <w:sz w:val="28"/>
          <w:szCs w:val="28"/>
          <w:highlight w:val="none"/>
        </w:rPr>
        <w:t>负责观测消防废水的流向和数量，当发现消防废水满溢或流向</w:t>
      </w:r>
      <w:r>
        <w:rPr>
          <w:rFonts w:hint="default" w:ascii="Times New Roman" w:hAnsi="Times New Roman" w:eastAsia="仿宋" w:cs="Times New Roman"/>
          <w:color w:val="auto"/>
          <w:sz w:val="28"/>
          <w:szCs w:val="28"/>
          <w:highlight w:val="none"/>
          <w:lang w:eastAsia="zh-CN"/>
        </w:rPr>
        <w:t>院外</w:t>
      </w:r>
      <w:r>
        <w:rPr>
          <w:rFonts w:hint="default" w:ascii="Times New Roman" w:hAnsi="Times New Roman" w:eastAsia="仿宋" w:cs="Times New Roman"/>
          <w:color w:val="auto"/>
          <w:sz w:val="28"/>
          <w:szCs w:val="28"/>
          <w:highlight w:val="none"/>
        </w:rPr>
        <w:t>时，立即报告现场应急处置指挥部设围堰收容</w:t>
      </w:r>
      <w:r>
        <w:rPr>
          <w:rFonts w:hint="default" w:ascii="Times New Roman" w:hAnsi="Times New Roman" w:eastAsia="仿宋"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5</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灭火抢险结束后，组织人员对现场进行消洗、清理，利用废水处理设备对废水进行集中处理（请环保公司或请环保部门协助处理）。</w:t>
      </w:r>
    </w:p>
    <w:bookmarkEnd w:id="226"/>
    <w:p>
      <w:pPr>
        <w:ind w:firstLine="281" w:firstLineChars="100"/>
        <w:rPr>
          <w:rFonts w:hint="default" w:ascii="Times New Roman" w:hAnsi="Times New Roman" w:cs="Times New Roman"/>
          <w:b/>
          <w:bCs/>
          <w:color w:val="auto"/>
          <w:lang w:val="en-US" w:eastAsia="zh-CN"/>
        </w:rPr>
      </w:pPr>
      <w:r>
        <w:rPr>
          <w:rFonts w:hint="eastAsia" w:ascii="Times New Roman" w:hAnsi="Times New Roman" w:cs="Times New Roman"/>
          <w:b/>
          <w:bCs/>
          <w:color w:val="auto"/>
          <w:lang w:val="en-US" w:eastAsia="zh-CN"/>
        </w:rPr>
        <w:t>（四）无事故池下的</w:t>
      </w:r>
      <w:r>
        <w:rPr>
          <w:rFonts w:hint="default" w:ascii="Times New Roman" w:hAnsi="Times New Roman" w:cs="Times New Roman"/>
          <w:b/>
          <w:bCs/>
          <w:color w:val="auto"/>
          <w:lang w:val="en-US" w:eastAsia="zh-CN"/>
        </w:rPr>
        <w:t>消防废水处置措施</w:t>
      </w:r>
    </w:p>
    <w:p>
      <w:pPr>
        <w:keepNext w:val="0"/>
        <w:keepLines w:val="0"/>
        <w:pageBreakBefore w:val="0"/>
        <w:widowControl w:val="0"/>
        <w:kinsoku/>
        <w:wordWrap/>
        <w:overflowPunct/>
        <w:autoSpaceDE/>
        <w:autoSpaceDN/>
        <w:bidi w:val="0"/>
        <w:adjustRightInd/>
        <w:snapToGrid/>
        <w:spacing w:line="360" w:lineRule="auto"/>
        <w:ind w:left="0" w:leftChars="0" w:right="0" w:rightChars="0" w:firstLine="560" w:firstLineChars="200"/>
        <w:jc w:val="both"/>
        <w:textAlignment w:val="auto"/>
        <w:rPr>
          <w:rFonts w:hint="eastAsia" w:ascii="Times New Roman" w:hAnsi="Times New Roman" w:cs="Times New Roman"/>
          <w:color w:val="auto"/>
          <w:highlight w:val="none"/>
          <w:lang w:eastAsia="zh-CN"/>
        </w:rPr>
      </w:pPr>
      <w:r>
        <w:rPr>
          <w:rFonts w:hint="eastAsia" w:ascii="Times New Roman" w:hAnsi="Times New Roman" w:cs="Times New Roman"/>
          <w:color w:val="auto"/>
          <w:highlight w:val="none"/>
          <w:lang w:eastAsia="zh-CN"/>
        </w:rPr>
        <w:t>本企业目前建设的应急事故收集池地势较高，不符合建设要求。在重新整改应急事故池前，企业处理消防废水的处置措施为：</w:t>
      </w:r>
    </w:p>
    <w:p>
      <w:pPr>
        <w:ind w:firstLine="560"/>
        <w:rPr>
          <w:rFonts w:hint="eastAsia"/>
          <w:lang w:val="en-US" w:eastAsia="zh-CN"/>
        </w:rPr>
      </w:pPr>
      <w:r>
        <w:rPr>
          <w:rFonts w:hint="eastAsia"/>
          <w:lang w:val="en-US" w:eastAsia="zh-CN"/>
        </w:rPr>
        <w:t>1、在低洼地用沙袋设置围堰对消防废水进行围堵收容，将截流收集的消防废水用泵抽至罐车，作为危险废物交由有资质单位处置。</w:t>
      </w:r>
    </w:p>
    <w:p>
      <w:pPr>
        <w:ind w:firstLine="560"/>
        <w:rPr>
          <w:rFonts w:hint="eastAsia" w:cs="Times New Roman"/>
          <w:lang w:val="en-US" w:eastAsia="zh-CN"/>
        </w:rPr>
      </w:pPr>
      <w:r>
        <w:rPr>
          <w:rFonts w:hint="eastAsia"/>
          <w:lang w:val="en-US" w:eastAsia="zh-CN"/>
        </w:rPr>
        <w:t xml:space="preserve">2、若不能及时转运，可将消防废水暂存至储罐或储水收集池，联系有资质单位处置。 </w:t>
      </w:r>
      <w:r>
        <w:rPr>
          <w:rFonts w:hint="eastAsia" w:cs="Times New Roman"/>
          <w:lang w:val="en-US" w:eastAsia="zh-CN"/>
        </w:rPr>
        <w:t xml:space="preserve"> </w:t>
      </w:r>
    </w:p>
    <w:p>
      <w:pPr>
        <w:ind w:firstLine="281" w:firstLineChars="100"/>
        <w:rPr>
          <w:rFonts w:hint="default" w:ascii="Times New Roman" w:hAnsi="Times New Roman" w:cs="Times New Roman"/>
          <w:b/>
          <w:bCs/>
          <w:color w:val="auto"/>
          <w:lang w:val="en-US" w:eastAsia="zh-CN"/>
        </w:rPr>
      </w:pPr>
      <w:r>
        <w:rPr>
          <w:rFonts w:hint="eastAsia" w:ascii="Times New Roman" w:hAnsi="Times New Roman" w:cs="Times New Roman"/>
          <w:b/>
          <w:bCs/>
          <w:color w:val="auto"/>
          <w:lang w:val="en-US" w:eastAsia="zh-CN"/>
        </w:rPr>
        <w:t>（五）污染可能影响到周边企业时应急处置措施</w:t>
      </w:r>
      <w:bookmarkEnd w:id="227"/>
      <w:bookmarkEnd w:id="228"/>
      <w:bookmarkEnd w:id="229"/>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eastAsia"/>
          <w:color w:val="auto"/>
          <w:lang w:val="en-US" w:eastAsia="zh-CN"/>
        </w:rPr>
      </w:pPr>
      <w:r>
        <w:rPr>
          <w:rFonts w:hint="eastAsia"/>
          <w:color w:val="auto"/>
          <w:lang w:val="en-US" w:eastAsia="zh-CN"/>
        </w:rPr>
        <w:t>当发生火灾时可能对厂区外周边企业、周边人群构成威胁时，必须在指挥部统一指挥下，对与事故应急救援无关人员进行紧急疏散。疏散方向、距离和集中地点，必须根据不同事故，做出具体规定。对可能威胁到厂外人群时，指挥部指派相应负责人立即与村委会、镇政府联系，配合当地人民政府的响应措施，通知并引导周围人员立即迅速撤离至安全地点。</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紧急疏散时应注意：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（1）救援人员应该佩戴个人防护用品；</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（2）应向上风向转移，明确专人引导和护送疏散人员到安全区域，并在疏散路线上设置专人引导，指明方向；</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（3）查清是否有人滞留在污染区域与着火区；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color w:val="auto"/>
        </w:rPr>
      </w:pPr>
      <w:r>
        <w:rPr>
          <w:rFonts w:hint="default" w:ascii="Times New Roman" w:hAnsi="Times New Roman" w:cs="Times New Roman"/>
          <w:color w:val="auto"/>
          <w:lang w:val="en-US" w:eastAsia="zh-CN"/>
        </w:rPr>
        <w:t>（4）抢救人员在撤离前向现场指挥人报告撤离人员情况。</w:t>
      </w:r>
      <w:bookmarkEnd w:id="230"/>
    </w:p>
    <w:p>
      <w:pPr>
        <w:pStyle w:val="17"/>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left"/>
        <w:textAlignment w:val="auto"/>
        <w:outlineLvl w:val="9"/>
        <w:rPr>
          <w:rFonts w:hint="default" w:ascii="Times New Roman" w:hAnsi="Times New Roman" w:eastAsia="仿宋" w:cs="Times New Roman"/>
          <w:color w:val="auto"/>
          <w:kern w:val="0"/>
          <w:sz w:val="28"/>
          <w:szCs w:val="28"/>
          <w:lang w:val="en-US" w:eastAsia="zh-CN" w:bidi="ar"/>
        </w:rPr>
      </w:pPr>
    </w:p>
    <w:p>
      <w:pPr>
        <w:rPr>
          <w:rFonts w:hint="default"/>
          <w:color w:val="auto"/>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231" w:name="_Toc11109"/>
      <w:bookmarkStart w:id="232" w:name="_Toc32186"/>
      <w:bookmarkStart w:id="233" w:name="_Toc13153"/>
      <w:bookmarkStart w:id="234" w:name="_Toc22048"/>
      <w:bookmarkStart w:id="235" w:name="_Toc29883"/>
      <w:bookmarkStart w:id="236" w:name="_Toc23809"/>
      <w:r>
        <w:rPr>
          <w:rFonts w:hint="default" w:ascii="Times New Roman" w:hAnsi="Times New Roman" w:eastAsia="仿宋GB_2312" w:cs="Times New Roman"/>
          <w:color w:val="auto"/>
          <w:szCs w:val="36"/>
        </w:rPr>
        <w:t>5</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现有环境风险防控和应急措施差距分析</w:t>
      </w:r>
      <w:bookmarkEnd w:id="231"/>
      <w:bookmarkEnd w:id="232"/>
      <w:bookmarkEnd w:id="233"/>
      <w:bookmarkEnd w:id="234"/>
      <w:bookmarkEnd w:id="235"/>
      <w:bookmarkEnd w:id="236"/>
    </w:p>
    <w:p>
      <w:pPr>
        <w:pageBreakBefore w:val="0"/>
        <w:kinsoku/>
        <w:wordWrap/>
        <w:overflowPunct/>
        <w:topLinePunct w:val="0"/>
        <w:bidi w:val="0"/>
        <w:spacing w:line="360" w:lineRule="auto"/>
        <w:ind w:right="0" w:rightChars="0" w:firstLine="560"/>
        <w:textAlignment w:val="auto"/>
        <w:rPr>
          <w:rFonts w:eastAsia="仿宋GB_2312" w:cs="Times New Roman"/>
          <w:color w:val="auto"/>
          <w:szCs w:val="28"/>
        </w:rPr>
      </w:pPr>
      <w:r>
        <w:rPr>
          <w:rFonts w:eastAsia="仿宋GB_2312" w:cs="Times New Roman"/>
          <w:color w:val="auto"/>
          <w:szCs w:val="28"/>
        </w:rPr>
        <w:t>本次评估报告从以下方面对现有环境风险防控与应急措施的完备性、可靠性和有效性进行分析论证，找出差距、问题，提出需要整改的</w:t>
      </w:r>
      <w:r>
        <w:rPr>
          <w:rFonts w:eastAsia="仿宋GB_2312" w:cs="Times New Roman"/>
          <w:color w:val="auto"/>
          <w:szCs w:val="28"/>
          <w:highlight w:val="none"/>
        </w:rPr>
        <w:t>短期、中期项目</w:t>
      </w:r>
      <w:r>
        <w:rPr>
          <w:rFonts w:eastAsia="仿宋GB_2312" w:cs="Times New Roman"/>
          <w:color w:val="auto"/>
          <w:szCs w:val="28"/>
        </w:rPr>
        <w:t>内容。</w:t>
      </w:r>
    </w:p>
    <w:p>
      <w:pPr>
        <w:pStyle w:val="2"/>
        <w:rPr>
          <w:rFonts w:hint="default" w:ascii="Times New Roman" w:hAnsi="Times New Roman" w:cs="Times New Roman"/>
          <w:color w:val="auto"/>
          <w:sz w:val="30"/>
          <w:szCs w:val="30"/>
          <w:lang w:val="en-US" w:eastAsia="zh-CN"/>
        </w:rPr>
      </w:pPr>
      <w:bookmarkStart w:id="237" w:name="_Toc16371"/>
      <w:bookmarkStart w:id="238" w:name="_Toc2301"/>
      <w:bookmarkStart w:id="239" w:name="_Toc31324"/>
      <w:bookmarkStart w:id="240" w:name="_Toc2979"/>
      <w:bookmarkStart w:id="241" w:name="_Toc19885"/>
      <w:bookmarkStart w:id="242" w:name="_Toc13101"/>
      <w:r>
        <w:rPr>
          <w:rFonts w:hint="default" w:ascii="Times New Roman" w:hAnsi="Times New Roman" w:cs="Times New Roman"/>
          <w:color w:val="auto"/>
          <w:sz w:val="30"/>
          <w:szCs w:val="30"/>
          <w:lang w:val="en-US" w:eastAsia="zh-CN"/>
        </w:rPr>
        <w:t>5.1</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lang w:val="en-US" w:eastAsia="zh-CN"/>
        </w:rPr>
        <w:t>项目风险管理制度</w:t>
      </w:r>
      <w:bookmarkEnd w:id="237"/>
      <w:bookmarkEnd w:id="238"/>
      <w:bookmarkEnd w:id="239"/>
      <w:bookmarkEnd w:id="240"/>
      <w:bookmarkEnd w:id="241"/>
      <w:bookmarkEnd w:id="242"/>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43" w:name="_Toc16166"/>
      <w:bookmarkStart w:id="244" w:name="_Toc15717"/>
      <w:bookmarkStart w:id="245" w:name="_Toc5975"/>
      <w:r>
        <w:rPr>
          <w:rFonts w:hint="default" w:ascii="Times New Roman" w:hAnsi="Times New Roman" w:eastAsia="仿宋" w:cs="Times New Roman"/>
          <w:bCs w:val="0"/>
          <w:color w:val="auto"/>
          <w:kern w:val="2"/>
          <w:sz w:val="28"/>
          <w:szCs w:val="24"/>
          <w:lang w:val="en-US" w:eastAsia="zh-CN" w:bidi="ar-SA"/>
        </w:rPr>
        <w:t>5.1.1</w:t>
      </w:r>
      <w:r>
        <w:rPr>
          <w:rFonts w:hint="eastAsia" w:ascii="Times New Roman" w:hAnsi="Times New Roman"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val="en-US" w:eastAsia="zh-CN" w:bidi="ar-SA"/>
        </w:rPr>
        <w:t>环境风险防控和应急措施制度建设情况</w:t>
      </w:r>
      <w:bookmarkEnd w:id="243"/>
      <w:bookmarkEnd w:id="244"/>
      <w:bookmarkEnd w:id="245"/>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outlineLvl w:val="9"/>
        <w:rPr>
          <w:rFonts w:hint="default" w:ascii="Times New Roman" w:hAnsi="Times New Roman" w:eastAsia="仿宋" w:cs="Times New Roman"/>
          <w:b/>
          <w:bCs/>
          <w:color w:val="auto"/>
          <w:sz w:val="28"/>
          <w:szCs w:val="28"/>
          <w:highlight w:val="none"/>
          <w:lang w:val="en-US" w:eastAsia="zh-CN"/>
        </w:rPr>
      </w:pPr>
      <w:bookmarkStart w:id="246" w:name="_Toc30058"/>
      <w:r>
        <w:rPr>
          <w:rFonts w:hint="default" w:ascii="Times New Roman" w:hAnsi="Times New Roman" w:eastAsia="仿宋" w:cs="Times New Roman"/>
          <w:b/>
          <w:bCs/>
          <w:color w:val="auto"/>
          <w:sz w:val="28"/>
          <w:szCs w:val="28"/>
          <w:highlight w:val="none"/>
          <w:lang w:val="en-US" w:eastAsia="zh-CN"/>
        </w:rPr>
        <w:t>1、工艺技术设计安全防范及操作、管理措施</w:t>
      </w:r>
      <w:bookmarkEnd w:id="24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eastAsia="仿宋"/>
          <w:color w:val="auto"/>
          <w:sz w:val="28"/>
          <w:szCs w:val="28"/>
          <w:highlight w:val="none"/>
        </w:rPr>
        <w:t>采用成熟、先进工艺。选用先进、安全的设备，消除或减少有害源；提高机械化、自动化水平改善劳动条件，把可能对人产生的伤害以及对环境产生的危害降到最低。</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outlineLvl w:val="9"/>
        <w:rPr>
          <w:rFonts w:hint="default" w:ascii="Times New Roman" w:hAnsi="Times New Roman" w:eastAsia="仿宋" w:cs="Times New Roman"/>
          <w:b/>
          <w:bCs/>
          <w:color w:val="auto"/>
          <w:sz w:val="28"/>
          <w:szCs w:val="28"/>
          <w:highlight w:val="none"/>
          <w:lang w:val="en-US" w:eastAsia="zh-CN"/>
        </w:rPr>
      </w:pPr>
      <w:r>
        <w:rPr>
          <w:rFonts w:hint="eastAsia" w:ascii="Times New Roman" w:hAnsi="Times New Roman" w:eastAsia="仿宋" w:cs="Times New Roman"/>
          <w:b/>
          <w:bCs/>
          <w:color w:val="auto"/>
          <w:sz w:val="28"/>
          <w:szCs w:val="28"/>
          <w:highlight w:val="none"/>
          <w:lang w:val="en-US" w:eastAsia="zh-CN"/>
        </w:rPr>
        <w:t>2、</w:t>
      </w:r>
      <w:r>
        <w:rPr>
          <w:rFonts w:hint="default" w:ascii="Times New Roman" w:hAnsi="Times New Roman" w:eastAsia="仿宋" w:cs="Times New Roman"/>
          <w:b/>
          <w:bCs/>
          <w:color w:val="auto"/>
          <w:sz w:val="28"/>
          <w:szCs w:val="28"/>
          <w:highlight w:val="none"/>
          <w:lang w:val="en-US" w:eastAsia="zh-CN"/>
        </w:rPr>
        <w:t>消防设施建设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color w:val="auto"/>
          <w:lang w:val="en-US" w:eastAsia="zh-CN"/>
        </w:rPr>
      </w:pPr>
      <w:r>
        <w:rPr>
          <w:rFonts w:hint="default" w:ascii="Times New Roman" w:hAnsi="Times New Roman" w:eastAsia="仿宋" w:cs="Times New Roman"/>
          <w:color w:val="auto"/>
          <w:sz w:val="28"/>
          <w:szCs w:val="28"/>
        </w:rPr>
        <w:t>按《建筑</w:t>
      </w:r>
      <w:r>
        <w:rPr>
          <w:rFonts w:hint="eastAsia" w:ascii="Times New Roman" w:hAnsi="Times New Roman" w:cs="Times New Roman"/>
          <w:color w:val="auto"/>
          <w:sz w:val="28"/>
          <w:szCs w:val="28"/>
          <w:lang w:eastAsia="zh-CN"/>
        </w:rPr>
        <w:t>设计</w:t>
      </w:r>
      <w:r>
        <w:rPr>
          <w:rFonts w:hint="default" w:ascii="Times New Roman" w:hAnsi="Times New Roman" w:eastAsia="仿宋" w:cs="Times New Roman"/>
          <w:color w:val="auto"/>
          <w:sz w:val="28"/>
          <w:szCs w:val="28"/>
        </w:rPr>
        <w:t>防火规范》GB 50016-2014要求，在厂区各生产车间、办公室及各危险区等厂房配置一定数量的灭火器材</w:t>
      </w:r>
      <w:r>
        <w:rPr>
          <w:rFonts w:hint="default" w:ascii="Times New Roman" w:hAnsi="Times New Roman" w:eastAsia="仿宋" w:cs="Times New Roman"/>
          <w:color w:val="auto"/>
          <w:sz w:val="28"/>
          <w:szCs w:val="28"/>
          <w:highlight w:val="none"/>
        </w:rPr>
        <w:t>干粉灭火器</w:t>
      </w:r>
      <w:r>
        <w:rPr>
          <w:rFonts w:hint="eastAsia" w:ascii="Times New Roman" w:hAnsi="Times New Roman" w:cs="Times New Roman"/>
          <w:color w:val="auto"/>
          <w:sz w:val="28"/>
          <w:szCs w:val="28"/>
          <w:highlight w:val="none"/>
          <w:lang w:eastAsia="zh-CN"/>
        </w:rPr>
        <w:t>以及消防器材等</w:t>
      </w:r>
      <w:r>
        <w:rPr>
          <w:rFonts w:hint="default" w:ascii="Times New Roman" w:hAnsi="Times New Roman" w:eastAsia="仿宋" w:cs="Times New Roman"/>
          <w:color w:val="auto"/>
          <w:sz w:val="28"/>
          <w:szCs w:val="28"/>
        </w:rPr>
        <w:t>用于扑灭初期火灾。</w:t>
      </w:r>
    </w:p>
    <w:p>
      <w:pPr>
        <w:pStyle w:val="2"/>
        <w:rPr>
          <w:rFonts w:hint="default" w:ascii="Times New Roman" w:hAnsi="Times New Roman" w:cs="Times New Roman"/>
          <w:color w:val="auto"/>
          <w:sz w:val="30"/>
          <w:szCs w:val="30"/>
          <w:lang w:val="en-US" w:eastAsia="zh-CN"/>
        </w:rPr>
      </w:pPr>
      <w:bookmarkStart w:id="247" w:name="_Toc622"/>
      <w:bookmarkStart w:id="248" w:name="_Toc23272"/>
      <w:r>
        <w:rPr>
          <w:rFonts w:hint="default" w:ascii="Times New Roman" w:hAnsi="Times New Roman" w:cs="Times New Roman"/>
          <w:color w:val="auto"/>
          <w:sz w:val="30"/>
          <w:szCs w:val="30"/>
          <w:lang w:val="en-US" w:eastAsia="zh-CN"/>
        </w:rPr>
        <w:t>5.2</w:t>
      </w:r>
      <w:r>
        <w:rPr>
          <w:rFonts w:hint="eastAsia" w:ascii="Times New Roman" w:hAnsi="Times New Roman" w:cs="Times New Roman"/>
          <w:color w:val="auto"/>
          <w:sz w:val="30"/>
          <w:szCs w:val="30"/>
          <w:lang w:val="en-US" w:eastAsia="zh-CN"/>
        </w:rPr>
        <w:t xml:space="preserve"> </w:t>
      </w:r>
      <w:r>
        <w:rPr>
          <w:rFonts w:hint="default" w:ascii="Times New Roman" w:hAnsi="Times New Roman" w:cs="Times New Roman"/>
          <w:color w:val="auto"/>
          <w:sz w:val="30"/>
          <w:szCs w:val="30"/>
          <w:lang w:val="en-US" w:eastAsia="zh-CN"/>
        </w:rPr>
        <w:t>环境风险防控与应急措施差距分析</w:t>
      </w:r>
      <w:bookmarkEnd w:id="247"/>
      <w:bookmarkEnd w:id="24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GB_2312" w:cs="Times New Roman"/>
          <w:b/>
          <w:bCs/>
          <w:color w:val="auto"/>
          <w:sz w:val="24"/>
          <w:szCs w:val="24"/>
          <w:highlight w:val="none"/>
        </w:rPr>
      </w:pPr>
      <w:bookmarkStart w:id="249" w:name="_Toc29895"/>
      <w:bookmarkStart w:id="250" w:name="_Toc5517"/>
      <w:bookmarkStart w:id="251" w:name="_Toc25038"/>
      <w:bookmarkStart w:id="252" w:name="_Toc23995"/>
      <w:r>
        <w:rPr>
          <w:rFonts w:hint="eastAsia" w:ascii="Times New Roman" w:hAnsi="Times New Roman" w:cs="Times New Roman"/>
          <w:color w:val="auto"/>
          <w:highlight w:val="none"/>
          <w:lang w:eastAsia="zh-CN"/>
        </w:rPr>
        <w:t>咸阳市秦都区宏大建材厂</w:t>
      </w:r>
      <w:r>
        <w:rPr>
          <w:rFonts w:hint="default" w:ascii="Times New Roman" w:hAnsi="Times New Roman" w:eastAsia="仿宋" w:cs="Times New Roman"/>
          <w:color w:val="auto"/>
          <w:highlight w:val="none"/>
        </w:rPr>
        <w:t>现有环境风险防控与应急措施的差距分析，见表</w:t>
      </w:r>
      <w:r>
        <w:rPr>
          <w:rFonts w:hint="eastAsia" w:ascii="Times New Roman" w:hAnsi="Times New Roman" w:cs="Times New Roman"/>
          <w:color w:val="auto"/>
          <w:highlight w:val="none"/>
          <w:lang w:val="en-US" w:eastAsia="zh-CN"/>
        </w:rPr>
        <w:t>5-1</w:t>
      </w:r>
      <w:r>
        <w:rPr>
          <w:rFonts w:hint="default" w:ascii="Times New Roman" w:hAnsi="Times New Roman" w:eastAsia="仿宋" w:cs="Times New Roman"/>
          <w:color w:val="auto"/>
          <w:highlight w:val="none"/>
        </w:rPr>
        <w:t>。</w:t>
      </w:r>
    </w:p>
    <w:p>
      <w:pPr>
        <w:pageBreakBefore w:val="0"/>
        <w:kinsoku/>
        <w:wordWrap/>
        <w:overflowPunct/>
        <w:topLinePunct w:val="0"/>
        <w:bidi w:val="0"/>
        <w:spacing w:line="240" w:lineRule="auto"/>
        <w:ind w:right="0" w:rightChars="0"/>
        <w:jc w:val="center"/>
        <w:textAlignment w:val="auto"/>
        <w:rPr>
          <w:rFonts w:hint="default" w:ascii="Times New Roman" w:hAnsi="Times New Roman" w:eastAsia="仿宋GB_2312" w:cs="Times New Roman"/>
          <w:b/>
          <w:bCs/>
          <w:color w:val="auto"/>
          <w:sz w:val="24"/>
          <w:szCs w:val="24"/>
          <w:highlight w:val="none"/>
        </w:rPr>
      </w:pPr>
      <w:r>
        <w:rPr>
          <w:rFonts w:hint="default" w:ascii="Times New Roman" w:hAnsi="Times New Roman" w:eastAsia="仿宋GB_2312" w:cs="Times New Roman"/>
          <w:b/>
          <w:bCs/>
          <w:color w:val="auto"/>
          <w:sz w:val="24"/>
          <w:szCs w:val="24"/>
          <w:highlight w:val="none"/>
        </w:rPr>
        <w:t>表</w:t>
      </w:r>
      <w:r>
        <w:rPr>
          <w:rFonts w:hint="eastAsia" w:ascii="Times New Roman" w:hAnsi="Times New Roman" w:eastAsia="仿宋GB_2312" w:cs="Times New Roman"/>
          <w:b/>
          <w:bCs/>
          <w:color w:val="auto"/>
          <w:sz w:val="24"/>
          <w:szCs w:val="24"/>
          <w:highlight w:val="none"/>
          <w:lang w:val="en-US" w:eastAsia="zh-CN"/>
        </w:rPr>
        <w:t xml:space="preserve">5-1   </w:t>
      </w:r>
      <w:r>
        <w:rPr>
          <w:rFonts w:hint="default" w:ascii="Times New Roman" w:hAnsi="Times New Roman" w:eastAsia="仿宋GB_2312" w:cs="Times New Roman"/>
          <w:b/>
          <w:bCs/>
          <w:color w:val="auto"/>
          <w:sz w:val="24"/>
          <w:szCs w:val="24"/>
          <w:highlight w:val="none"/>
        </w:rPr>
        <w:t>现有环境风险防控与应急措施差距分析表</w:t>
      </w:r>
    </w:p>
    <w:tbl>
      <w:tblPr>
        <w:tblStyle w:val="19"/>
        <w:tblW w:w="8522"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68"/>
        <w:gridCol w:w="1726"/>
        <w:gridCol w:w="58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序号</w:t>
            </w:r>
          </w:p>
        </w:tc>
        <w:tc>
          <w:tcPr>
            <w:tcW w:w="17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项目</w:t>
            </w:r>
          </w:p>
        </w:tc>
        <w:tc>
          <w:tcPr>
            <w:tcW w:w="58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本公司实际情况及差距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val="en-US" w:eastAsia="zh-CN"/>
              </w:rPr>
              <w:t>1</w:t>
            </w:r>
          </w:p>
        </w:tc>
        <w:tc>
          <w:tcPr>
            <w:tcW w:w="17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应急物资</w:t>
            </w:r>
          </w:p>
        </w:tc>
        <w:tc>
          <w:tcPr>
            <w:tcW w:w="58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公司已经按照要求配备一定的应急物资</w:t>
            </w:r>
            <w:r>
              <w:rPr>
                <w:rFonts w:hint="eastAsia" w:ascii="仿宋" w:hAnsi="仿宋" w:cs="仿宋"/>
                <w:color w:val="auto"/>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2</w:t>
            </w:r>
          </w:p>
        </w:tc>
        <w:tc>
          <w:tcPr>
            <w:tcW w:w="17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风险防范措施</w:t>
            </w:r>
          </w:p>
        </w:tc>
        <w:tc>
          <w:tcPr>
            <w:tcW w:w="58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仿宋" w:hAnsi="仿宋" w:eastAsia="仿宋" w:cs="仿宋"/>
                <w:color w:val="auto"/>
                <w:sz w:val="24"/>
                <w:szCs w:val="24"/>
                <w:highlight w:val="none"/>
                <w:lang w:val="en-US" w:eastAsia="zh-CN"/>
              </w:rPr>
            </w:pPr>
            <w:r>
              <w:rPr>
                <w:rFonts w:hint="eastAsia" w:ascii="仿宋" w:hAnsi="仿宋" w:cs="仿宋"/>
                <w:color w:val="auto"/>
                <w:sz w:val="24"/>
                <w:szCs w:val="24"/>
                <w:highlight w:val="none"/>
                <w:lang w:eastAsia="zh-CN"/>
              </w:rPr>
              <w:t>建设应急事故收集池地势较高，不规范。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3</w:t>
            </w:r>
          </w:p>
        </w:tc>
        <w:tc>
          <w:tcPr>
            <w:tcW w:w="17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环境管理制度</w:t>
            </w:r>
          </w:p>
        </w:tc>
        <w:tc>
          <w:tcPr>
            <w:tcW w:w="58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已按照要求建立环保管理机构及正常运行的环境管理制度，但未定期组织环境风险与环境应急知识宣传与培训。</w:t>
            </w:r>
          </w:p>
        </w:tc>
      </w:tr>
    </w:tbl>
    <w:p>
      <w:pPr>
        <w:pStyle w:val="2"/>
        <w:rPr>
          <w:rFonts w:hint="default" w:ascii="Times New Roman" w:hAnsi="Times New Roman" w:cs="Times New Roman"/>
          <w:color w:val="auto"/>
          <w:sz w:val="30"/>
          <w:szCs w:val="30"/>
          <w:lang w:val="en-US" w:eastAsia="zh-CN"/>
        </w:rPr>
      </w:pPr>
      <w:bookmarkStart w:id="253" w:name="_Toc28438"/>
      <w:bookmarkStart w:id="254" w:name="_Toc10956"/>
      <w:r>
        <w:rPr>
          <w:rFonts w:hint="default" w:ascii="Times New Roman" w:hAnsi="Times New Roman" w:cs="Times New Roman"/>
          <w:color w:val="auto"/>
          <w:sz w:val="30"/>
          <w:szCs w:val="30"/>
          <w:lang w:val="en-US" w:eastAsia="zh-CN"/>
        </w:rPr>
        <w:t>5.</w:t>
      </w:r>
      <w:r>
        <w:rPr>
          <w:rFonts w:hint="eastAsia" w:ascii="Times New Roman" w:hAnsi="Times New Roman" w:cs="Times New Roman"/>
          <w:color w:val="auto"/>
          <w:sz w:val="30"/>
          <w:szCs w:val="30"/>
          <w:lang w:val="en-US" w:eastAsia="zh-CN"/>
        </w:rPr>
        <w:t xml:space="preserve">3 </w:t>
      </w:r>
      <w:r>
        <w:rPr>
          <w:rFonts w:hint="default" w:ascii="Times New Roman" w:hAnsi="Times New Roman" w:cs="Times New Roman"/>
          <w:color w:val="auto"/>
          <w:sz w:val="30"/>
          <w:szCs w:val="30"/>
          <w:lang w:val="en-US" w:eastAsia="zh-CN"/>
        </w:rPr>
        <w:t>需要整改的短期、中期和长期项目内容</w:t>
      </w:r>
      <w:bookmarkEnd w:id="249"/>
      <w:bookmarkEnd w:id="250"/>
      <w:bookmarkEnd w:id="251"/>
      <w:bookmarkEnd w:id="252"/>
      <w:bookmarkEnd w:id="253"/>
      <w:bookmarkEnd w:id="25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GB_2312" w:cs="Times New Roman"/>
          <w:b/>
          <w:bCs/>
          <w:color w:val="auto"/>
          <w:sz w:val="24"/>
          <w:szCs w:val="24"/>
        </w:rPr>
      </w:pPr>
      <w:r>
        <w:rPr>
          <w:rFonts w:hint="eastAsia" w:ascii="Times New Roman" w:hAnsi="Times New Roman" w:cs="Times New Roman"/>
          <w:color w:val="auto"/>
          <w:highlight w:val="none"/>
          <w:lang w:eastAsia="zh-CN"/>
        </w:rPr>
        <w:t>咸阳市秦都区宏大建材厂</w:t>
      </w:r>
      <w:r>
        <w:rPr>
          <w:rFonts w:hint="eastAsia" w:ascii="Times New Roman" w:hAnsi="Times New Roman" w:cs="Times New Roman"/>
          <w:color w:val="auto"/>
          <w:sz w:val="28"/>
          <w:szCs w:val="28"/>
          <w:lang w:eastAsia="zh-CN"/>
        </w:rPr>
        <w:t>针对本次排查出的每一项差距和隐患，根据其危害性、治理时间的长短，提出需要完成整改的期限，详见下表</w:t>
      </w:r>
      <w:r>
        <w:rPr>
          <w:rFonts w:hint="default" w:ascii="Times New Roman" w:hAnsi="Times New Roman"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highlight w:val="none"/>
        </w:rPr>
      </w:pPr>
      <w:r>
        <w:rPr>
          <w:rFonts w:hint="default" w:ascii="Times New Roman" w:hAnsi="Times New Roman" w:eastAsia="仿宋GB_2312" w:cs="Times New Roman"/>
          <w:b/>
          <w:bCs/>
          <w:color w:val="auto"/>
          <w:sz w:val="24"/>
          <w:szCs w:val="24"/>
          <w:highlight w:val="none"/>
        </w:rPr>
        <w:t>表</w:t>
      </w:r>
      <w:r>
        <w:rPr>
          <w:rFonts w:hint="eastAsia" w:ascii="Times New Roman" w:hAnsi="Times New Roman" w:eastAsia="仿宋GB_2312" w:cs="Times New Roman"/>
          <w:b/>
          <w:bCs/>
          <w:color w:val="auto"/>
          <w:sz w:val="24"/>
          <w:szCs w:val="24"/>
          <w:highlight w:val="none"/>
          <w:lang w:val="en-US" w:eastAsia="zh-CN"/>
        </w:rPr>
        <w:t xml:space="preserve">5-2  </w:t>
      </w:r>
      <w:r>
        <w:rPr>
          <w:rFonts w:hint="default" w:ascii="Times New Roman" w:hAnsi="Times New Roman" w:eastAsia="仿宋GB_2312" w:cs="Times New Roman"/>
          <w:b/>
          <w:bCs/>
          <w:color w:val="auto"/>
          <w:sz w:val="24"/>
          <w:szCs w:val="24"/>
          <w:highlight w:val="none"/>
        </w:rPr>
        <w:t>待整改的短、中</w:t>
      </w:r>
      <w:r>
        <w:rPr>
          <w:rFonts w:hint="eastAsia" w:ascii="Times New Roman" w:hAnsi="Times New Roman" w:eastAsia="仿宋GB_2312" w:cs="Times New Roman"/>
          <w:b/>
          <w:bCs/>
          <w:color w:val="auto"/>
          <w:sz w:val="24"/>
          <w:szCs w:val="24"/>
          <w:highlight w:val="none"/>
          <w:lang w:eastAsia="zh-CN"/>
        </w:rPr>
        <w:t>期</w:t>
      </w:r>
      <w:r>
        <w:rPr>
          <w:rFonts w:hint="default" w:ascii="Times New Roman" w:hAnsi="Times New Roman" w:eastAsia="仿宋GB_2312" w:cs="Times New Roman"/>
          <w:b/>
          <w:bCs/>
          <w:color w:val="auto"/>
          <w:sz w:val="24"/>
          <w:szCs w:val="24"/>
          <w:highlight w:val="none"/>
        </w:rPr>
        <w:t>项目内容</w:t>
      </w:r>
    </w:p>
    <w:tbl>
      <w:tblPr>
        <w:tblStyle w:val="19"/>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1"/>
        <w:gridCol w:w="2237"/>
        <w:gridCol w:w="4084"/>
        <w:gridCol w:w="137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8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rPr>
            </w:pPr>
            <w:r>
              <w:rPr>
                <w:rFonts w:hint="eastAsia" w:ascii="仿宋" w:hAnsi="仿宋" w:eastAsia="仿宋" w:cs="仿宋"/>
                <w:b/>
                <w:bCs/>
                <w:color w:val="auto"/>
                <w:sz w:val="24"/>
                <w:szCs w:val="24"/>
              </w:rPr>
              <w:t>序号</w:t>
            </w:r>
          </w:p>
        </w:tc>
        <w:tc>
          <w:tcPr>
            <w:tcW w:w="223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rPr>
            </w:pPr>
            <w:r>
              <w:rPr>
                <w:rFonts w:hint="eastAsia" w:ascii="仿宋" w:hAnsi="仿宋" w:eastAsia="仿宋" w:cs="仿宋"/>
                <w:b/>
                <w:bCs/>
                <w:color w:val="auto"/>
                <w:sz w:val="24"/>
                <w:szCs w:val="24"/>
              </w:rPr>
              <w:t>存在问题</w:t>
            </w:r>
          </w:p>
        </w:tc>
        <w:tc>
          <w:tcPr>
            <w:tcW w:w="40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rPr>
            </w:pPr>
            <w:r>
              <w:rPr>
                <w:rFonts w:hint="eastAsia" w:ascii="仿宋" w:hAnsi="仿宋" w:eastAsia="仿宋" w:cs="仿宋"/>
                <w:b/>
                <w:bCs/>
                <w:color w:val="auto"/>
                <w:sz w:val="24"/>
                <w:szCs w:val="24"/>
              </w:rPr>
              <w:t>整改目标</w:t>
            </w:r>
          </w:p>
        </w:tc>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b/>
                <w:bCs/>
                <w:color w:val="auto"/>
                <w:sz w:val="24"/>
                <w:szCs w:val="24"/>
              </w:rPr>
            </w:pPr>
            <w:r>
              <w:rPr>
                <w:rFonts w:hint="eastAsia" w:ascii="仿宋" w:hAnsi="仿宋" w:eastAsia="仿宋" w:cs="仿宋"/>
                <w:b/>
                <w:bCs/>
                <w:color w:val="auto"/>
                <w:sz w:val="24"/>
                <w:szCs w:val="24"/>
              </w:rPr>
              <w:t>整改时限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8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val="en-US" w:eastAsia="zh-CN"/>
              </w:rPr>
              <w:t>1</w:t>
            </w:r>
          </w:p>
        </w:tc>
        <w:tc>
          <w:tcPr>
            <w:tcW w:w="223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应急物资不完善</w:t>
            </w:r>
          </w:p>
        </w:tc>
        <w:tc>
          <w:tcPr>
            <w:tcW w:w="40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lang w:eastAsia="zh-CN"/>
              </w:rPr>
              <w:t>完善应急物资，增加防止污染</w:t>
            </w:r>
            <w:r>
              <w:rPr>
                <w:rFonts w:hint="eastAsia" w:ascii="仿宋" w:hAnsi="仿宋" w:cs="仿宋"/>
                <w:color w:val="auto"/>
                <w:sz w:val="24"/>
                <w:szCs w:val="24"/>
                <w:lang w:eastAsia="zh-CN"/>
              </w:rPr>
              <w:t>泄漏</w:t>
            </w:r>
            <w:r>
              <w:rPr>
                <w:rFonts w:hint="eastAsia" w:ascii="仿宋" w:hAnsi="仿宋" w:eastAsia="仿宋" w:cs="仿宋"/>
                <w:color w:val="auto"/>
                <w:sz w:val="24"/>
                <w:szCs w:val="24"/>
                <w:lang w:eastAsia="zh-CN"/>
              </w:rPr>
              <w:t>应急物资</w:t>
            </w:r>
            <w:r>
              <w:rPr>
                <w:rFonts w:hint="eastAsia" w:ascii="仿宋" w:hAnsi="仿宋" w:cs="仿宋"/>
                <w:color w:val="auto"/>
                <w:sz w:val="24"/>
                <w:szCs w:val="24"/>
                <w:lang w:eastAsia="zh-CN"/>
              </w:rPr>
              <w:t>，</w:t>
            </w:r>
            <w:r>
              <w:rPr>
                <w:rFonts w:hint="eastAsia" w:ascii="仿宋" w:hAnsi="仿宋" w:eastAsia="仿宋" w:cs="仿宋"/>
                <w:color w:val="auto"/>
                <w:sz w:val="24"/>
                <w:szCs w:val="24"/>
                <w:lang w:eastAsia="zh-CN"/>
              </w:rPr>
              <w:t>如吸油毡</w:t>
            </w:r>
            <w:r>
              <w:rPr>
                <w:rFonts w:hint="eastAsia" w:ascii="仿宋" w:hAnsi="仿宋" w:cs="仿宋"/>
                <w:color w:val="auto"/>
                <w:sz w:val="24"/>
                <w:szCs w:val="24"/>
                <w:lang w:eastAsia="zh-CN"/>
              </w:rPr>
              <w:t>、锯末，截流消防废水使用的沙袋</w:t>
            </w:r>
            <w:r>
              <w:rPr>
                <w:rFonts w:hint="eastAsia" w:ascii="仿宋" w:hAnsi="仿宋" w:eastAsia="仿宋" w:cs="仿宋"/>
                <w:color w:val="auto"/>
                <w:sz w:val="24"/>
                <w:szCs w:val="24"/>
                <w:lang w:eastAsia="zh-CN"/>
              </w:rPr>
              <w:t>等。</w:t>
            </w:r>
          </w:p>
        </w:tc>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短期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8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w:t>
            </w:r>
          </w:p>
        </w:tc>
        <w:tc>
          <w:tcPr>
            <w:tcW w:w="223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highlight w:val="none"/>
                <w:lang w:eastAsia="zh-CN"/>
              </w:rPr>
              <w:t>风险防范措施</w:t>
            </w:r>
            <w:r>
              <w:rPr>
                <w:rFonts w:hint="eastAsia" w:ascii="仿宋" w:hAnsi="仿宋" w:eastAsia="仿宋" w:cs="仿宋"/>
                <w:color w:val="auto"/>
                <w:sz w:val="24"/>
                <w:szCs w:val="24"/>
                <w:lang w:eastAsia="zh-CN"/>
              </w:rPr>
              <w:t>不完善</w:t>
            </w:r>
          </w:p>
        </w:tc>
        <w:tc>
          <w:tcPr>
            <w:tcW w:w="40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lang w:eastAsia="zh-CN"/>
              </w:rPr>
            </w:pPr>
            <w:r>
              <w:rPr>
                <w:rFonts w:hint="eastAsia" w:ascii="仿宋" w:hAnsi="仿宋" w:cs="仿宋"/>
                <w:color w:val="auto"/>
                <w:sz w:val="24"/>
                <w:szCs w:val="24"/>
                <w:highlight w:val="none"/>
                <w:lang w:eastAsia="zh-CN"/>
              </w:rPr>
              <w:t>在厂区最低处建设应急事故池</w:t>
            </w:r>
            <w:r>
              <w:rPr>
                <w:rFonts w:hint="eastAsia" w:ascii="仿宋" w:hAnsi="仿宋" w:eastAsia="仿宋" w:cs="仿宋"/>
                <w:color w:val="auto"/>
                <w:sz w:val="24"/>
                <w:szCs w:val="24"/>
                <w:highlight w:val="none"/>
                <w:lang w:eastAsia="zh-CN"/>
              </w:rPr>
              <w:t>。</w:t>
            </w:r>
          </w:p>
        </w:tc>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rPr>
              <w:t>短期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8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w:t>
            </w:r>
          </w:p>
        </w:tc>
        <w:tc>
          <w:tcPr>
            <w:tcW w:w="223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highlight w:val="none"/>
              </w:rPr>
              <w:t>未定期组织环境风险与环境应急知识宣传与培训</w:t>
            </w:r>
          </w:p>
        </w:tc>
        <w:tc>
          <w:tcPr>
            <w:tcW w:w="40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highlight w:val="none"/>
              </w:rPr>
              <w:t>完善环保机构及制度，定期组织环境风险与环境应急知识宣传与培训</w:t>
            </w:r>
            <w:r>
              <w:rPr>
                <w:rFonts w:hint="eastAsia" w:ascii="仿宋" w:hAnsi="仿宋" w:eastAsia="仿宋" w:cs="仿宋"/>
                <w:color w:val="auto"/>
                <w:sz w:val="24"/>
                <w:szCs w:val="24"/>
                <w:highlight w:val="none"/>
                <w:lang w:eastAsia="zh-CN"/>
              </w:rPr>
              <w:t>，提高人员风险防范意识及责任感。</w:t>
            </w:r>
          </w:p>
        </w:tc>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highlight w:val="none"/>
              </w:rPr>
              <w:t>中期</w:t>
            </w:r>
          </w:p>
        </w:tc>
      </w:tr>
    </w:tbl>
    <w:p>
      <w:pPr>
        <w:rPr>
          <w:rFonts w:hint="default"/>
          <w:color w:val="auto"/>
          <w:lang w:val="en-US" w:eastAsia="zh-CN"/>
        </w:rPr>
      </w:pPr>
    </w:p>
    <w:p>
      <w:pPr>
        <w:rPr>
          <w:rFonts w:hint="default"/>
          <w:color w:val="auto"/>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0" w:beforeLines="0" w:after="0" w:afterLines="0" w:line="360" w:lineRule="auto"/>
        <w:ind w:left="0" w:leftChars="0" w:right="0" w:rightChars="0" w:firstLine="0" w:firstLineChars="0"/>
        <w:jc w:val="left"/>
        <w:textAlignment w:val="auto"/>
        <w:outlineLvl w:val="0"/>
        <w:rPr>
          <w:rFonts w:hint="default" w:ascii="Times New Roman" w:hAnsi="Times New Roman" w:cs="Times New Roman"/>
          <w:color w:val="auto"/>
        </w:rPr>
      </w:pPr>
      <w:bookmarkStart w:id="255" w:name="_Toc833"/>
      <w:bookmarkStart w:id="256" w:name="_Toc12155"/>
      <w:bookmarkStart w:id="257" w:name="_Toc21627"/>
      <w:bookmarkStart w:id="258" w:name="_Toc16488"/>
      <w:bookmarkStart w:id="259" w:name="_Toc31474"/>
      <w:r>
        <w:rPr>
          <w:rFonts w:hint="default" w:ascii="Times New Roman" w:hAnsi="Times New Roman" w:cs="Times New Roman"/>
          <w:color w:val="auto"/>
        </w:rPr>
        <w:t>6</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完善环境风险防控和应急措施的实施计划</w:t>
      </w:r>
      <w:bookmarkEnd w:id="255"/>
      <w:bookmarkEnd w:id="256"/>
      <w:bookmarkEnd w:id="257"/>
      <w:bookmarkEnd w:id="25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eastAsia="仿宋GB_2312" w:cs="Times New Roman"/>
          <w:color w:val="auto"/>
        </w:rPr>
        <w:t>对照表</w:t>
      </w:r>
      <w:r>
        <w:rPr>
          <w:rFonts w:hint="eastAsia" w:ascii="Times New Roman" w:hAnsi="Times New Roman" w:eastAsia="仿宋GB_2312" w:cs="Times New Roman"/>
          <w:color w:val="auto"/>
          <w:lang w:val="en-US" w:eastAsia="zh-CN"/>
        </w:rPr>
        <w:t>5-2</w:t>
      </w:r>
      <w:r>
        <w:rPr>
          <w:rFonts w:hint="default" w:ascii="Times New Roman" w:hAnsi="Times New Roman" w:eastAsia="仿宋GB_2312" w:cs="Times New Roman"/>
          <w:color w:val="auto"/>
        </w:rPr>
        <w:t>公司需要整改的</w:t>
      </w:r>
      <w:r>
        <w:rPr>
          <w:rFonts w:hint="default" w:ascii="Times New Roman" w:hAnsi="Times New Roman" w:eastAsia="仿宋GB_2312" w:cs="Times New Roman"/>
          <w:color w:val="auto"/>
          <w:highlight w:val="none"/>
        </w:rPr>
        <w:t>短期、中期</w:t>
      </w:r>
      <w:r>
        <w:rPr>
          <w:rFonts w:hint="default" w:ascii="Times New Roman" w:hAnsi="Times New Roman" w:eastAsia="仿宋GB_2312" w:cs="Times New Roman"/>
          <w:color w:val="auto"/>
        </w:rPr>
        <w:t>项目内容，分别制定对应的项目加强风险防控措施和应急管理的目标和整改期限。</w:t>
      </w:r>
    </w:p>
    <w:p>
      <w:pPr>
        <w:pageBreakBefore w:val="0"/>
        <w:kinsoku/>
        <w:wordWrap/>
        <w:overflowPunct/>
        <w:topLinePunct w:val="0"/>
        <w:bidi w:val="0"/>
        <w:spacing w:line="240" w:lineRule="auto"/>
        <w:ind w:right="0" w:rightChars="0"/>
        <w:jc w:val="center"/>
        <w:textAlignment w:val="auto"/>
        <w:rPr>
          <w:rFonts w:hint="default" w:ascii="Times New Roman" w:hAnsi="Times New Roman" w:eastAsia="仿宋GB_2312" w:cs="Times New Roman"/>
          <w:b/>
          <w:bCs/>
          <w:color w:val="auto"/>
          <w:sz w:val="24"/>
          <w:szCs w:val="24"/>
          <w:highlight w:val="none"/>
        </w:rPr>
      </w:pPr>
      <w:r>
        <w:rPr>
          <w:rFonts w:hint="default" w:ascii="Times New Roman" w:hAnsi="Times New Roman" w:eastAsia="仿宋GB_2312" w:cs="Times New Roman"/>
          <w:b/>
          <w:bCs/>
          <w:color w:val="auto"/>
          <w:sz w:val="24"/>
          <w:szCs w:val="24"/>
          <w:highlight w:val="none"/>
        </w:rPr>
        <w:t>表</w:t>
      </w:r>
      <w:r>
        <w:rPr>
          <w:rFonts w:hint="eastAsia" w:ascii="Times New Roman" w:hAnsi="Times New Roman" w:eastAsia="仿宋GB_2312" w:cs="Times New Roman"/>
          <w:b/>
          <w:bCs/>
          <w:color w:val="auto"/>
          <w:sz w:val="24"/>
          <w:szCs w:val="24"/>
          <w:highlight w:val="none"/>
          <w:lang w:val="en-US" w:eastAsia="zh-CN"/>
        </w:rPr>
        <w:t xml:space="preserve">6-1    </w:t>
      </w:r>
      <w:r>
        <w:rPr>
          <w:rFonts w:hint="default" w:ascii="Times New Roman" w:hAnsi="Times New Roman" w:eastAsia="仿宋GB_2312" w:cs="Times New Roman"/>
          <w:b/>
          <w:bCs/>
          <w:color w:val="auto"/>
          <w:sz w:val="24"/>
          <w:szCs w:val="24"/>
          <w:highlight w:val="none"/>
        </w:rPr>
        <w:t>整改项目及实施计划</w:t>
      </w:r>
    </w:p>
    <w:tbl>
      <w:tblPr>
        <w:tblStyle w:val="19"/>
        <w:tblW w:w="8522"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75"/>
        <w:gridCol w:w="2166"/>
        <w:gridCol w:w="4118"/>
        <w:gridCol w:w="116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0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eastAsia="仿宋GB_2312"/>
                <w:color w:val="auto"/>
                <w:sz w:val="24"/>
                <w:szCs w:val="24"/>
                <w:lang w:eastAsia="zh-CN"/>
              </w:rPr>
            </w:pPr>
            <w:r>
              <w:rPr>
                <w:rFonts w:eastAsia="仿宋GB_2312" w:cs="Times New Roman"/>
                <w:b/>
                <w:bCs/>
                <w:color w:val="auto"/>
                <w:sz w:val="24"/>
                <w:szCs w:val="24"/>
              </w:rPr>
              <w:t>整改</w:t>
            </w:r>
            <w:r>
              <w:rPr>
                <w:rFonts w:hint="eastAsia" w:eastAsia="仿宋GB_2312" w:cs="Times New Roman"/>
                <w:b/>
                <w:bCs/>
                <w:color w:val="auto"/>
                <w:sz w:val="24"/>
                <w:szCs w:val="24"/>
                <w:lang w:eastAsia="zh-CN"/>
              </w:rPr>
              <w:t>阶段</w:t>
            </w:r>
          </w:p>
        </w:tc>
        <w:tc>
          <w:tcPr>
            <w:tcW w:w="21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eastAsia="仿宋GB_2312" w:cs="Times New Roman"/>
                <w:b/>
                <w:bCs/>
                <w:color w:val="auto"/>
                <w:sz w:val="24"/>
                <w:szCs w:val="24"/>
                <w:highlight w:val="none"/>
              </w:rPr>
            </w:pPr>
            <w:r>
              <w:rPr>
                <w:rFonts w:eastAsia="仿宋GB_2312" w:cs="Times New Roman"/>
                <w:b/>
                <w:bCs/>
                <w:color w:val="auto"/>
                <w:sz w:val="24"/>
                <w:szCs w:val="24"/>
                <w:highlight w:val="none"/>
              </w:rPr>
              <w:t>存在问题</w:t>
            </w:r>
          </w:p>
        </w:tc>
        <w:tc>
          <w:tcPr>
            <w:tcW w:w="41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eastAsia="仿宋GB_2312" w:cs="Times New Roman"/>
                <w:b/>
                <w:bCs/>
                <w:color w:val="auto"/>
                <w:sz w:val="24"/>
                <w:szCs w:val="24"/>
                <w:highlight w:val="none"/>
              </w:rPr>
            </w:pPr>
            <w:r>
              <w:rPr>
                <w:rFonts w:eastAsia="仿宋GB_2312" w:cs="Times New Roman"/>
                <w:b/>
                <w:bCs/>
                <w:color w:val="auto"/>
                <w:sz w:val="24"/>
                <w:szCs w:val="24"/>
                <w:highlight w:val="none"/>
              </w:rPr>
              <w:t>整改目标</w:t>
            </w:r>
          </w:p>
        </w:tc>
        <w:tc>
          <w:tcPr>
            <w:tcW w:w="11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eastAsia="仿宋GB_2312" w:cs="Times New Roman"/>
                <w:b/>
                <w:bCs/>
                <w:color w:val="auto"/>
                <w:sz w:val="24"/>
                <w:szCs w:val="24"/>
                <w:highlight w:val="none"/>
              </w:rPr>
            </w:pPr>
            <w:r>
              <w:rPr>
                <w:rFonts w:eastAsia="仿宋GB_2312" w:cs="Times New Roman"/>
                <w:b/>
                <w:bCs/>
                <w:color w:val="auto"/>
                <w:sz w:val="24"/>
                <w:szCs w:val="24"/>
                <w:highlight w:val="none"/>
              </w:rPr>
              <w:t>完成时限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0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color w:val="auto"/>
                <w:sz w:val="24"/>
                <w:szCs w:val="24"/>
              </w:rPr>
            </w:pPr>
            <w:r>
              <w:rPr>
                <w:rFonts w:hint="default" w:ascii="Times New Roman" w:hAnsi="Times New Roman" w:eastAsia="仿宋GB_2312" w:cs="Times New Roman"/>
                <w:color w:val="auto"/>
                <w:sz w:val="24"/>
                <w:szCs w:val="24"/>
              </w:rPr>
              <w:t>短期</w:t>
            </w:r>
          </w:p>
        </w:tc>
        <w:tc>
          <w:tcPr>
            <w:tcW w:w="21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eastAsia="仿宋GB_2312" w:cs="Times New Roman"/>
                <w:b/>
                <w:bCs/>
                <w:color w:val="auto"/>
                <w:sz w:val="24"/>
                <w:szCs w:val="24"/>
                <w:highlight w:val="none"/>
              </w:rPr>
            </w:pPr>
            <w:r>
              <w:rPr>
                <w:rFonts w:hint="eastAsia" w:ascii="仿宋" w:hAnsi="仿宋" w:eastAsia="仿宋" w:cs="仿宋"/>
                <w:color w:val="auto"/>
                <w:sz w:val="24"/>
                <w:szCs w:val="24"/>
                <w:lang w:eastAsia="zh-CN"/>
              </w:rPr>
              <w:t>应急物资不完善</w:t>
            </w:r>
          </w:p>
        </w:tc>
        <w:tc>
          <w:tcPr>
            <w:tcW w:w="41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eastAsia="仿宋GB_2312" w:cs="Times New Roman"/>
                <w:b/>
                <w:bCs/>
                <w:color w:val="auto"/>
                <w:sz w:val="24"/>
                <w:szCs w:val="24"/>
                <w:highlight w:val="none"/>
              </w:rPr>
            </w:pPr>
            <w:r>
              <w:rPr>
                <w:rFonts w:hint="eastAsia" w:ascii="仿宋" w:hAnsi="仿宋" w:eastAsia="仿宋" w:cs="仿宋"/>
                <w:color w:val="auto"/>
                <w:sz w:val="24"/>
                <w:szCs w:val="24"/>
                <w:lang w:eastAsia="zh-CN"/>
              </w:rPr>
              <w:t>完善应急物资，增加防止污染</w:t>
            </w:r>
            <w:r>
              <w:rPr>
                <w:rFonts w:hint="eastAsia" w:ascii="仿宋" w:hAnsi="仿宋" w:cs="仿宋"/>
                <w:color w:val="auto"/>
                <w:sz w:val="24"/>
                <w:szCs w:val="24"/>
                <w:lang w:eastAsia="zh-CN"/>
              </w:rPr>
              <w:t>泄漏</w:t>
            </w:r>
            <w:r>
              <w:rPr>
                <w:rFonts w:hint="eastAsia" w:ascii="仿宋" w:hAnsi="仿宋" w:eastAsia="仿宋" w:cs="仿宋"/>
                <w:color w:val="auto"/>
                <w:sz w:val="24"/>
                <w:szCs w:val="24"/>
                <w:lang w:eastAsia="zh-CN"/>
              </w:rPr>
              <w:t>应急物资</w:t>
            </w:r>
            <w:r>
              <w:rPr>
                <w:rFonts w:hint="eastAsia" w:ascii="仿宋" w:hAnsi="仿宋" w:cs="仿宋"/>
                <w:color w:val="auto"/>
                <w:sz w:val="24"/>
                <w:szCs w:val="24"/>
                <w:lang w:eastAsia="zh-CN"/>
              </w:rPr>
              <w:t>，</w:t>
            </w:r>
            <w:r>
              <w:rPr>
                <w:rFonts w:hint="eastAsia" w:ascii="仿宋" w:hAnsi="仿宋" w:eastAsia="仿宋" w:cs="仿宋"/>
                <w:color w:val="auto"/>
                <w:sz w:val="24"/>
                <w:szCs w:val="24"/>
                <w:lang w:eastAsia="zh-CN"/>
              </w:rPr>
              <w:t>如吸油毡</w:t>
            </w:r>
            <w:r>
              <w:rPr>
                <w:rFonts w:hint="eastAsia" w:ascii="仿宋" w:hAnsi="仿宋" w:cs="仿宋"/>
                <w:color w:val="auto"/>
                <w:sz w:val="24"/>
                <w:szCs w:val="24"/>
                <w:lang w:eastAsia="zh-CN"/>
              </w:rPr>
              <w:t>、锯末，截流消防废水使用的沙袋</w:t>
            </w:r>
            <w:r>
              <w:rPr>
                <w:rFonts w:hint="eastAsia" w:ascii="仿宋" w:hAnsi="仿宋" w:eastAsia="仿宋" w:cs="仿宋"/>
                <w:color w:val="auto"/>
                <w:sz w:val="24"/>
                <w:szCs w:val="24"/>
                <w:lang w:eastAsia="zh-CN"/>
              </w:rPr>
              <w:t>等。</w:t>
            </w:r>
          </w:p>
        </w:tc>
        <w:tc>
          <w:tcPr>
            <w:tcW w:w="11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eastAsia="仿宋GB_2312" w:cs="Times New Roman"/>
                <w:b/>
                <w:bCs/>
                <w:color w:val="auto"/>
                <w:sz w:val="24"/>
                <w:szCs w:val="24"/>
                <w:highlight w:val="none"/>
              </w:rPr>
            </w:pPr>
            <w:r>
              <w:rPr>
                <w:rFonts w:hint="default" w:ascii="Times New Roman" w:hAnsi="Times New Roman" w:eastAsia="仿宋GB_2312" w:cs="Times New Roman"/>
                <w:color w:val="auto"/>
                <w:sz w:val="24"/>
                <w:szCs w:val="24"/>
                <w:highlight w:val="none"/>
              </w:rPr>
              <w:t>201</w:t>
            </w:r>
            <w:r>
              <w:rPr>
                <w:rFonts w:hint="eastAsia" w:ascii="Times New Roman" w:hAnsi="Times New Roman" w:eastAsia="仿宋GB_2312" w:cs="Times New Roman"/>
                <w:color w:val="auto"/>
                <w:sz w:val="24"/>
                <w:szCs w:val="24"/>
                <w:highlight w:val="none"/>
                <w:lang w:val="en-US" w:eastAsia="zh-CN"/>
              </w:rPr>
              <w:t>9</w:t>
            </w:r>
            <w:r>
              <w:rPr>
                <w:rFonts w:hint="default" w:ascii="Times New Roman" w:hAnsi="Times New Roman" w:eastAsia="仿宋GB_2312" w:cs="Times New Roman"/>
                <w:color w:val="auto"/>
                <w:sz w:val="24"/>
                <w:szCs w:val="24"/>
                <w:highlight w:val="none"/>
              </w:rPr>
              <w:t>.</w:t>
            </w:r>
            <w:r>
              <w:rPr>
                <w:rFonts w:hint="eastAsia" w:ascii="Times New Roman" w:hAnsi="Times New Roman" w:eastAsia="仿宋GB_2312" w:cs="Times New Roman"/>
                <w:color w:val="auto"/>
                <w:sz w:val="24"/>
                <w:szCs w:val="24"/>
                <w:highlight w:val="none"/>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0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default" w:ascii="Times New Roman" w:hAnsi="Times New Roman" w:eastAsia="仿宋GB_2312" w:cs="Times New Roman"/>
                <w:color w:val="auto"/>
                <w:sz w:val="24"/>
                <w:szCs w:val="24"/>
              </w:rPr>
            </w:pPr>
            <w:r>
              <w:rPr>
                <w:rFonts w:hint="default" w:ascii="Times New Roman" w:hAnsi="Times New Roman" w:eastAsia="仿宋GB_2312" w:cs="Times New Roman"/>
                <w:color w:val="auto"/>
                <w:sz w:val="24"/>
                <w:szCs w:val="24"/>
              </w:rPr>
              <w:t>短期</w:t>
            </w:r>
          </w:p>
        </w:tc>
        <w:tc>
          <w:tcPr>
            <w:tcW w:w="21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仿宋" w:hAnsi="仿宋" w:eastAsia="仿宋" w:cs="仿宋"/>
                <w:color w:val="auto"/>
                <w:sz w:val="24"/>
                <w:szCs w:val="24"/>
                <w:lang w:eastAsia="zh-CN"/>
              </w:rPr>
            </w:pPr>
            <w:r>
              <w:rPr>
                <w:rFonts w:hint="eastAsia" w:ascii="仿宋" w:hAnsi="仿宋" w:cs="仿宋"/>
                <w:color w:val="auto"/>
                <w:sz w:val="24"/>
                <w:szCs w:val="24"/>
                <w:highlight w:val="none"/>
                <w:lang w:eastAsia="zh-CN"/>
              </w:rPr>
              <w:t>风险防范措施</w:t>
            </w:r>
            <w:r>
              <w:rPr>
                <w:rFonts w:hint="eastAsia" w:ascii="仿宋" w:hAnsi="仿宋" w:eastAsia="仿宋" w:cs="仿宋"/>
                <w:color w:val="auto"/>
                <w:sz w:val="24"/>
                <w:szCs w:val="24"/>
                <w:lang w:eastAsia="zh-CN"/>
              </w:rPr>
              <w:t>不完善</w:t>
            </w:r>
          </w:p>
        </w:tc>
        <w:tc>
          <w:tcPr>
            <w:tcW w:w="41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eastAsia" w:ascii="仿宋" w:hAnsi="仿宋" w:eastAsia="仿宋" w:cs="仿宋"/>
                <w:color w:val="auto"/>
                <w:sz w:val="24"/>
                <w:szCs w:val="24"/>
                <w:lang w:eastAsia="zh-CN"/>
              </w:rPr>
            </w:pPr>
            <w:r>
              <w:rPr>
                <w:rFonts w:hint="eastAsia" w:ascii="仿宋" w:hAnsi="仿宋" w:cs="仿宋"/>
                <w:color w:val="auto"/>
                <w:sz w:val="24"/>
                <w:szCs w:val="24"/>
                <w:highlight w:val="none"/>
                <w:lang w:eastAsia="zh-CN"/>
              </w:rPr>
              <w:t>建设应急事故池</w:t>
            </w:r>
            <w:r>
              <w:rPr>
                <w:rFonts w:hint="eastAsia" w:ascii="仿宋" w:hAnsi="仿宋" w:eastAsia="仿宋" w:cs="仿宋"/>
                <w:color w:val="auto"/>
                <w:sz w:val="24"/>
                <w:szCs w:val="24"/>
                <w:highlight w:val="none"/>
                <w:lang w:eastAsia="zh-CN"/>
              </w:rPr>
              <w:t>。</w:t>
            </w:r>
          </w:p>
        </w:tc>
        <w:tc>
          <w:tcPr>
            <w:tcW w:w="11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eastAsia" w:ascii="Times New Roman" w:hAnsi="Times New Roman" w:eastAsia="仿宋GB_2312" w:cs="Times New Roman"/>
                <w:color w:val="auto"/>
                <w:sz w:val="24"/>
                <w:szCs w:val="24"/>
                <w:highlight w:val="none"/>
                <w:lang w:val="en-US" w:eastAsia="zh-CN"/>
              </w:rPr>
            </w:pPr>
            <w:r>
              <w:rPr>
                <w:rFonts w:hint="default" w:ascii="Times New Roman" w:hAnsi="Times New Roman" w:eastAsia="仿宋GB_2312" w:cs="Times New Roman"/>
                <w:color w:val="auto"/>
                <w:sz w:val="24"/>
                <w:szCs w:val="24"/>
                <w:highlight w:val="none"/>
              </w:rPr>
              <w:t>201</w:t>
            </w:r>
            <w:r>
              <w:rPr>
                <w:rFonts w:hint="eastAsia" w:ascii="Times New Roman" w:hAnsi="Times New Roman" w:eastAsia="仿宋GB_2312" w:cs="Times New Roman"/>
                <w:color w:val="auto"/>
                <w:sz w:val="24"/>
                <w:szCs w:val="24"/>
                <w:highlight w:val="none"/>
                <w:lang w:val="en-US" w:eastAsia="zh-CN"/>
              </w:rPr>
              <w:t>9</w:t>
            </w:r>
            <w:r>
              <w:rPr>
                <w:rFonts w:hint="default" w:ascii="Times New Roman" w:hAnsi="Times New Roman" w:eastAsia="仿宋GB_2312" w:cs="Times New Roman"/>
                <w:color w:val="auto"/>
                <w:sz w:val="24"/>
                <w:szCs w:val="24"/>
                <w:highlight w:val="none"/>
              </w:rPr>
              <w:t>.</w:t>
            </w:r>
            <w:r>
              <w:rPr>
                <w:rFonts w:hint="eastAsia" w:ascii="Times New Roman" w:hAnsi="Times New Roman" w:eastAsia="仿宋GB_2312" w:cs="Times New Roman"/>
                <w:color w:val="auto"/>
                <w:sz w:val="24"/>
                <w:szCs w:val="24"/>
                <w:highlight w:val="none"/>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0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color w:val="auto"/>
                <w:sz w:val="24"/>
                <w:szCs w:val="24"/>
              </w:rPr>
            </w:pPr>
            <w:r>
              <w:rPr>
                <w:rFonts w:eastAsia="仿宋GB_2312" w:cs="Times New Roman"/>
                <w:color w:val="auto"/>
                <w:sz w:val="24"/>
                <w:szCs w:val="24"/>
                <w:highlight w:val="none"/>
              </w:rPr>
              <w:t>中期</w:t>
            </w:r>
          </w:p>
        </w:tc>
        <w:tc>
          <w:tcPr>
            <w:tcW w:w="21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default" w:ascii="Times New Roman" w:hAnsi="Times New Roman" w:eastAsia="仿宋GB_2312" w:cs="Times New Roman"/>
                <w:color w:val="auto"/>
                <w:sz w:val="24"/>
                <w:szCs w:val="24"/>
                <w:highlight w:val="none"/>
              </w:rPr>
            </w:pPr>
            <w:r>
              <w:rPr>
                <w:rFonts w:hint="default" w:ascii="Times New Roman" w:hAnsi="Times New Roman" w:eastAsia="仿宋GB_2312" w:cs="Times New Roman"/>
                <w:color w:val="auto"/>
                <w:sz w:val="24"/>
                <w:szCs w:val="24"/>
                <w:highlight w:val="none"/>
              </w:rPr>
              <w:t>未定期组织环境风险与环境应急知识宣传与培训</w:t>
            </w:r>
          </w:p>
        </w:tc>
        <w:tc>
          <w:tcPr>
            <w:tcW w:w="41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仿宋GB_2312" w:cs="Times New Roman"/>
                <w:color w:val="auto"/>
                <w:sz w:val="24"/>
                <w:szCs w:val="24"/>
                <w:highlight w:val="none"/>
                <w:lang w:val="en-US"/>
              </w:rPr>
            </w:pPr>
            <w:r>
              <w:rPr>
                <w:rFonts w:hint="eastAsia" w:ascii="仿宋" w:hAnsi="仿宋" w:eastAsia="仿宋" w:cs="仿宋"/>
                <w:color w:val="auto"/>
                <w:sz w:val="24"/>
                <w:szCs w:val="24"/>
                <w:highlight w:val="none"/>
              </w:rPr>
              <w:t>完善环保机构及制度，定期组织环境风险与环境应急知识宣传与培训</w:t>
            </w:r>
            <w:r>
              <w:rPr>
                <w:rFonts w:hint="eastAsia" w:ascii="仿宋" w:hAnsi="仿宋" w:eastAsia="仿宋" w:cs="仿宋"/>
                <w:color w:val="auto"/>
                <w:sz w:val="24"/>
                <w:szCs w:val="24"/>
                <w:highlight w:val="none"/>
                <w:lang w:eastAsia="zh-CN"/>
              </w:rPr>
              <w:t>，提高人员风险防范意识及责任感。</w:t>
            </w:r>
          </w:p>
        </w:tc>
        <w:tc>
          <w:tcPr>
            <w:tcW w:w="11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default" w:ascii="Times New Roman" w:hAnsi="Times New Roman" w:eastAsia="仿宋GB_2312" w:cs="Times New Roman"/>
                <w:color w:val="auto"/>
                <w:sz w:val="24"/>
                <w:szCs w:val="24"/>
                <w:highlight w:val="none"/>
                <w:lang w:val="en-US"/>
              </w:rPr>
            </w:pPr>
            <w:r>
              <w:rPr>
                <w:rFonts w:hint="default" w:ascii="Times New Roman" w:hAnsi="Times New Roman" w:eastAsia="仿宋GB_2312" w:cs="Times New Roman"/>
                <w:i w:val="0"/>
                <w:iCs w:val="0"/>
                <w:color w:val="auto"/>
                <w:sz w:val="24"/>
                <w:szCs w:val="24"/>
                <w:highlight w:val="none"/>
              </w:rPr>
              <w:t>201</w:t>
            </w:r>
            <w:r>
              <w:rPr>
                <w:rFonts w:hint="eastAsia" w:ascii="Times New Roman" w:hAnsi="Times New Roman" w:eastAsia="仿宋GB_2312" w:cs="Times New Roman"/>
                <w:i w:val="0"/>
                <w:iCs w:val="0"/>
                <w:color w:val="auto"/>
                <w:sz w:val="24"/>
                <w:szCs w:val="24"/>
                <w:highlight w:val="none"/>
                <w:lang w:val="en-US" w:eastAsia="zh-CN"/>
              </w:rPr>
              <w:t>9</w:t>
            </w:r>
            <w:r>
              <w:rPr>
                <w:rFonts w:hint="default" w:ascii="Times New Roman" w:hAnsi="Times New Roman" w:eastAsia="仿宋GB_2312" w:cs="Times New Roman"/>
                <w:i w:val="0"/>
                <w:iCs w:val="0"/>
                <w:color w:val="auto"/>
                <w:sz w:val="24"/>
                <w:szCs w:val="24"/>
                <w:highlight w:val="none"/>
                <w:lang w:val="en-US" w:eastAsia="zh-CN"/>
              </w:rPr>
              <w:t>.</w:t>
            </w:r>
            <w:r>
              <w:rPr>
                <w:rFonts w:hint="eastAsia" w:ascii="Times New Roman" w:hAnsi="Times New Roman" w:eastAsia="仿宋GB_2312" w:cs="Times New Roman"/>
                <w:i w:val="0"/>
                <w:iCs w:val="0"/>
                <w:color w:val="auto"/>
                <w:sz w:val="24"/>
                <w:szCs w:val="24"/>
                <w:highlight w:val="none"/>
                <w:lang w:val="en-US" w:eastAsia="zh-CN"/>
              </w:rPr>
              <w:t>5</w:t>
            </w:r>
          </w:p>
        </w:tc>
      </w:tr>
      <w:bookmarkEnd w:id="259"/>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rightChars="0"/>
        <w:jc w:val="both"/>
        <w:textAlignment w:val="auto"/>
        <w:outlineLvl w:val="9"/>
        <w:rPr>
          <w:rFonts w:hint="default" w:ascii="Times New Roman" w:hAnsi="Times New Roman" w:cs="Times New Roman"/>
          <w:color w:val="auto"/>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Lines="0" w:afterLines="0" w:line="240" w:lineRule="auto"/>
        <w:ind w:left="0" w:leftChars="0" w:right="0" w:rightChars="0" w:firstLine="0" w:firstLineChars="0"/>
        <w:jc w:val="left"/>
        <w:textAlignment w:val="auto"/>
        <w:outlineLvl w:val="0"/>
        <w:rPr>
          <w:rFonts w:hint="default" w:ascii="Times New Roman" w:hAnsi="Times New Roman" w:eastAsia="仿宋GB_2312" w:cs="Times New Roman"/>
          <w:color w:val="auto"/>
          <w:szCs w:val="36"/>
        </w:rPr>
      </w:pPr>
      <w:bookmarkStart w:id="260" w:name="_Toc8342"/>
      <w:bookmarkStart w:id="261" w:name="_Toc21519"/>
      <w:bookmarkStart w:id="262" w:name="_Toc13312"/>
      <w:r>
        <w:rPr>
          <w:rFonts w:hint="default" w:ascii="Times New Roman" w:hAnsi="Times New Roman" w:eastAsia="仿宋GB_2312" w:cs="Times New Roman"/>
          <w:color w:val="auto"/>
          <w:szCs w:val="36"/>
        </w:rPr>
        <w:t>7</w:t>
      </w:r>
      <w:r>
        <w:rPr>
          <w:rFonts w:hint="eastAsia" w:ascii="Times New Roman" w:hAnsi="Times New Roman" w:eastAsia="仿宋GB_2312" w:cs="Times New Roman"/>
          <w:color w:val="auto"/>
          <w:szCs w:val="36"/>
          <w:lang w:val="en-US" w:eastAsia="zh-CN"/>
        </w:rPr>
        <w:t xml:space="preserve"> </w:t>
      </w:r>
      <w:r>
        <w:rPr>
          <w:rFonts w:hint="default" w:ascii="Times New Roman" w:hAnsi="Times New Roman" w:eastAsia="仿宋GB_2312" w:cs="Times New Roman"/>
          <w:color w:val="auto"/>
          <w:szCs w:val="36"/>
        </w:rPr>
        <w:t>企业突发环境事件风险等级</w:t>
      </w:r>
      <w:bookmarkEnd w:id="260"/>
      <w:bookmarkEnd w:id="261"/>
      <w:bookmarkEnd w:id="262"/>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仿宋GB_2312" w:cs="Times New Roman"/>
          <w:color w:val="auto"/>
          <w:sz w:val="32"/>
          <w:szCs w:val="32"/>
          <w:highlight w:val="none"/>
        </w:rPr>
      </w:pPr>
      <w:bookmarkStart w:id="263" w:name="_Toc23812"/>
      <w:bookmarkStart w:id="264" w:name="_Toc419215228"/>
      <w:bookmarkStart w:id="265" w:name="_Toc19795"/>
      <w:bookmarkStart w:id="266" w:name="_Toc6221"/>
      <w:bookmarkStart w:id="267" w:name="_Toc13813"/>
      <w:bookmarkStart w:id="268" w:name="_Toc25655"/>
      <w:bookmarkStart w:id="269" w:name="_Toc6562"/>
      <w:bookmarkStart w:id="270" w:name="_Toc5116"/>
      <w:bookmarkStart w:id="271" w:name="_Toc17760"/>
      <w:bookmarkStart w:id="272" w:name="_Toc12905"/>
      <w:bookmarkStart w:id="273" w:name="_Toc25909"/>
      <w:r>
        <w:rPr>
          <w:rFonts w:hint="default" w:ascii="Times New Roman" w:hAnsi="Times New Roman" w:eastAsia="仿宋GB_2312" w:cs="Times New Roman"/>
          <w:color w:val="auto"/>
          <w:sz w:val="32"/>
          <w:szCs w:val="32"/>
          <w:highlight w:val="none"/>
        </w:rPr>
        <w:t>7.1企业突发环境事件风险等级</w:t>
      </w:r>
      <w:bookmarkEnd w:id="263"/>
      <w:bookmarkEnd w:id="264"/>
      <w:bookmarkEnd w:id="265"/>
      <w:bookmarkEnd w:id="266"/>
      <w:bookmarkEnd w:id="267"/>
      <w:bookmarkEnd w:id="268"/>
      <w:bookmarkEnd w:id="269"/>
      <w:bookmarkEnd w:id="270"/>
      <w:bookmarkEnd w:id="271"/>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按照</w:t>
      </w:r>
      <w:r>
        <w:rPr>
          <w:rFonts w:hint="eastAsia"/>
          <w:color w:val="auto"/>
          <w:highlight w:val="none"/>
          <w:lang w:val="en-US" w:eastAsia="zh-CN"/>
        </w:rPr>
        <w:t>《企业突发环境事件风险分级方法》</w:t>
      </w:r>
      <w:r>
        <w:rPr>
          <w:rFonts w:hint="default" w:ascii="Times New Roman" w:hAnsi="Times New Roman" w:cs="Times New Roman"/>
          <w:color w:val="auto"/>
          <w:highlight w:val="none"/>
          <w:lang w:val="en-US" w:eastAsia="zh-CN"/>
        </w:rPr>
        <w:t>（HJ 941-2018）</w:t>
      </w:r>
      <w:r>
        <w:rPr>
          <w:rFonts w:hint="default" w:ascii="Times New Roman" w:hAnsi="Times New Roman" w:eastAsia="仿宋GB_2312" w:cs="Times New Roman"/>
          <w:color w:val="auto"/>
          <w:sz w:val="28"/>
          <w:szCs w:val="28"/>
          <w:highlight w:val="none"/>
        </w:rPr>
        <w:t>中的规定，</w:t>
      </w:r>
      <w:r>
        <w:rPr>
          <w:rFonts w:hint="eastAsia" w:ascii="Times New Roman" w:hAnsi="Times New Roman" w:eastAsia="仿宋GB_2312" w:cs="Times New Roman"/>
          <w:color w:val="auto"/>
          <w:sz w:val="28"/>
          <w:szCs w:val="28"/>
          <w:highlight w:val="none"/>
          <w:lang w:val="en-US" w:eastAsia="zh-CN"/>
        </w:rPr>
        <w:t>判断企业生产原料、产品、中间产品、副产品、催化剂、辅助生产物料、燃料、“三废”污染物等是否涉及大气及水风险物质（混合或稀释的风险物质按其组分比例折算成纯物质），计算涉气及涉水风险物质在厂界内的存在量（如存在量呈动态变化，则按年度内最大存在量计算）与其在附录A中临界量的比值Q</w:t>
      </w:r>
      <w:r>
        <w:rPr>
          <w:rFonts w:hint="default" w:ascii="Times New Roman" w:hAnsi="Times New Roman" w:eastAsia="仿宋GB_2312" w:cs="Times New Roman"/>
          <w:color w:val="auto"/>
          <w:sz w:val="28"/>
          <w:szCs w:val="28"/>
          <w:highlight w:val="none"/>
        </w:rPr>
        <w: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eastAsia"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1</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当企业只涉及一种风险物质时，该物质的数量与其临界比值，即为Q。</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default"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2</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当企业存在多种风险物质时，则按式（1）计算：</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right"/>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position w:val="-30"/>
          <w:sz w:val="28"/>
          <w:szCs w:val="28"/>
          <w:highlight w:val="none"/>
        </w:rPr>
        <w:object>
          <v:shape id="_x0000_i1026" o:spt="75" type="#_x0000_t75" style="height:42.45pt;width:215.9pt;" o:ole="t" filled="f" o:preferrelative="t" stroked="f" coordsize="21600,21600">
            <v:path/>
            <v:fill on="f" focussize="0,0"/>
            <v:stroke on="f"/>
            <v:imagedata r:id="rId9" o:title=""/>
            <o:lock v:ext="edit" aspectratio="t"/>
            <w10:wrap type="none"/>
            <w10:anchorlock/>
          </v:shape>
          <o:OLEObject Type="Embed" ProgID="Equation.KSEE3" ShapeID="_x0000_i1026" DrawAspect="Content" ObjectID="_1468075726" r:id="rId10">
            <o:LockedField>false</o:LockedField>
          </o:OLEObject>
        </w:object>
      </w:r>
      <w:r>
        <w:rPr>
          <w:rFonts w:hint="eastAsia" w:ascii="Times New Roman" w:hAnsi="Times New Roman" w:eastAsia="仿宋GB_2312" w:cs="Times New Roman"/>
          <w:color w:val="auto"/>
          <w:position w:val="-30"/>
          <w:sz w:val="28"/>
          <w:szCs w:val="28"/>
          <w:highlight w:val="none"/>
          <w:lang w:val="en-US" w:eastAsia="zh-CN"/>
        </w:rPr>
        <w:t xml:space="preserve">        </w:t>
      </w:r>
      <w:r>
        <w:rPr>
          <w:rFonts w:hint="default" w:ascii="Times New Roman" w:hAnsi="Times New Roman" w:eastAsia="仿宋GB_2312" w:cs="Times New Roman"/>
          <w:color w:val="auto"/>
          <w:sz w:val="28"/>
          <w:szCs w:val="28"/>
          <w:highlight w:val="none"/>
        </w:rPr>
        <w:t>（1）</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式中：</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——每种风险物质的存在量，t；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1400" w:firstLineChars="500"/>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——每种风险物质的临界量，t。</w:t>
      </w:r>
    </w:p>
    <w:p>
      <w:pPr>
        <w:keepNext w:val="0"/>
        <w:keepLines w:val="0"/>
        <w:pageBreakBefore w:val="0"/>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eastAsia" w:ascii="Times New Roman" w:hAnsi="Times New Roman" w:eastAsia="仿宋GB_2312" w:cs="Times New Roman"/>
          <w:color w:val="auto"/>
          <w:sz w:val="28"/>
          <w:szCs w:val="28"/>
          <w:highlight w:val="none"/>
          <w:lang w:val="en-US" w:eastAsia="zh-CN"/>
        </w:rPr>
      </w:pPr>
      <w:r>
        <w:rPr>
          <w:rFonts w:hint="eastAsia" w:ascii="Times New Roman" w:hAnsi="Times New Roman" w:eastAsia="仿宋GB_2312" w:cs="Times New Roman"/>
          <w:color w:val="auto"/>
          <w:sz w:val="28"/>
          <w:szCs w:val="28"/>
          <w:highlight w:val="none"/>
          <w:lang w:val="en-US" w:eastAsia="zh-CN"/>
        </w:rPr>
        <w:t>按数值大小，将Q划分为4个水平：</w:t>
      </w:r>
    </w:p>
    <w:p>
      <w:pPr>
        <w:keepNext w:val="0"/>
        <w:keepLines w:val="0"/>
        <w:pageBreakBefore w:val="0"/>
        <w:numPr>
          <w:ilvl w:val="0"/>
          <w:numId w:val="1"/>
        </w:numPr>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Q&lt;1，</w:t>
      </w:r>
      <w:r>
        <w:rPr>
          <w:rFonts w:hint="eastAsia" w:ascii="Times New Roman" w:hAnsi="Times New Roman" w:eastAsia="仿宋GB_2312" w:cs="Times New Roman"/>
          <w:color w:val="auto"/>
          <w:sz w:val="28"/>
          <w:szCs w:val="28"/>
          <w:highlight w:val="none"/>
          <w:lang w:val="en-US" w:eastAsia="zh-CN"/>
        </w:rPr>
        <w:t>以Q0表示，</w:t>
      </w:r>
      <w:r>
        <w:rPr>
          <w:rFonts w:hint="default" w:ascii="Times New Roman" w:hAnsi="Times New Roman" w:eastAsia="仿宋GB_2312" w:cs="Times New Roman"/>
          <w:color w:val="auto"/>
          <w:sz w:val="28"/>
          <w:szCs w:val="28"/>
          <w:highlight w:val="none"/>
        </w:rPr>
        <w:t>企业直接评为一般环境风险等级</w:t>
      </w:r>
      <w:r>
        <w:rPr>
          <w:rFonts w:hint="eastAsia" w:ascii="Times New Roman" w:hAnsi="Times New Roman" w:eastAsia="仿宋GB_2312" w:cs="Times New Roman"/>
          <w:color w:val="auto"/>
          <w:sz w:val="28"/>
          <w:szCs w:val="28"/>
          <w:highlight w:val="none"/>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2</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1≤Q&lt;10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以Q1表示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3</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10≤Q&lt;100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以Q2表示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2"/>
        </w:numPr>
        <w:kinsoku/>
        <w:wordWrap/>
        <w:overflowPunct/>
        <w:topLinePunct w:val="0"/>
        <w:autoSpaceDE/>
        <w:autoSpaceDN/>
        <w:bidi w:val="0"/>
        <w:adjustRightInd/>
        <w:snapToGrid/>
        <w:spacing w:line="360" w:lineRule="auto"/>
        <w:ind w:left="0" w:leftChars="0" w:right="0" w:rightChars="0" w:firstLine="560" w:firstLineChars="200"/>
        <w:contextualSpacing/>
        <w:textAlignment w:val="auto"/>
        <w:outlineLvl w:val="9"/>
        <w:rPr>
          <w:rFonts w:hint="eastAsia"/>
          <w:color w:val="auto"/>
          <w:lang w:val="en-US" w:eastAsia="zh-CN"/>
        </w:rPr>
      </w:pPr>
      <w:r>
        <w:rPr>
          <w:rFonts w:hint="default" w:ascii="Times New Roman" w:hAnsi="Times New Roman" w:eastAsia="仿宋GB_2312" w:cs="Times New Roman"/>
          <w:color w:val="auto"/>
          <w:sz w:val="28"/>
          <w:szCs w:val="28"/>
          <w:highlight w:val="none"/>
        </w:rPr>
        <w:t>Q≥100，</w:t>
      </w:r>
      <w:r>
        <w:rPr>
          <w:rFonts w:hint="eastAsia" w:ascii="Times New Roman" w:hAnsi="Times New Roman" w:eastAsia="仿宋GB_2312" w:cs="Times New Roman"/>
          <w:color w:val="auto"/>
          <w:sz w:val="28"/>
          <w:szCs w:val="28"/>
          <w:highlight w:val="none"/>
          <w:lang w:val="en-US" w:eastAsia="zh-CN"/>
        </w:rPr>
        <w:t>以Q3表示</w:t>
      </w:r>
      <w:r>
        <w:rPr>
          <w:rFonts w:hint="default" w:ascii="Times New Roman" w:hAnsi="Times New Roman" w:eastAsia="仿宋GB_2312" w:cs="Times New Roman"/>
          <w:color w:val="auto"/>
          <w:sz w:val="28"/>
          <w:szCs w:val="28"/>
          <w:highlight w:val="none"/>
        </w:rPr>
        <w:t>。</w:t>
      </w:r>
    </w:p>
    <w:bookmarkEnd w:id="272"/>
    <w:bookmarkEnd w:id="273"/>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eastAsia" w:ascii="Times New Roman" w:hAnsi="Times New Roman" w:eastAsia="仿宋GB_2312" w:cs="Times New Roman"/>
          <w:color w:val="auto"/>
          <w:sz w:val="32"/>
          <w:szCs w:val="32"/>
          <w:highlight w:val="none"/>
          <w:lang w:val="en-US" w:eastAsia="zh-CN"/>
        </w:rPr>
      </w:pPr>
      <w:bookmarkStart w:id="274" w:name="_Toc12147"/>
      <w:bookmarkStart w:id="275" w:name="_Toc6527"/>
      <w:r>
        <w:rPr>
          <w:rFonts w:hint="default" w:ascii="Times New Roman" w:hAnsi="Times New Roman" w:eastAsia="仿宋GB_2312" w:cs="Times New Roman"/>
          <w:color w:val="auto"/>
          <w:sz w:val="32"/>
          <w:szCs w:val="32"/>
          <w:highlight w:val="none"/>
          <w:lang w:val="en-US" w:eastAsia="zh-CN"/>
        </w:rPr>
        <w:t>7.</w:t>
      </w:r>
      <w:r>
        <w:rPr>
          <w:rFonts w:hint="eastAsia" w:ascii="Times New Roman" w:hAnsi="Times New Roman" w:eastAsia="仿宋GB_2312" w:cs="Times New Roman"/>
          <w:color w:val="auto"/>
          <w:sz w:val="32"/>
          <w:szCs w:val="32"/>
          <w:highlight w:val="none"/>
          <w:lang w:val="en-US" w:eastAsia="zh-CN"/>
        </w:rPr>
        <w:t>2 突发大气环境事件风险分级</w:t>
      </w:r>
      <w:bookmarkEnd w:id="274"/>
      <w:bookmarkEnd w:id="275"/>
    </w:p>
    <w:p>
      <w:pPr>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right="0" w:firstLine="560" w:firstLineChars="200"/>
        <w:jc w:val="both"/>
        <w:textAlignment w:val="auto"/>
        <w:outlineLvl w:val="9"/>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本公司</w:t>
      </w:r>
      <w:r>
        <w:rPr>
          <w:rFonts w:hint="eastAsia" w:ascii="Times New Roman" w:hAnsi="Times New Roman" w:cs="Times New Roman"/>
          <w:color w:val="auto"/>
          <w:szCs w:val="22"/>
          <w:highlight w:val="none"/>
          <w:lang w:val="en-US" w:eastAsia="zh-CN"/>
        </w:rPr>
        <w:t>涉气</w:t>
      </w:r>
      <w:r>
        <w:rPr>
          <w:rFonts w:hint="eastAsia" w:ascii="Times New Roman" w:hAnsi="Times New Roman" w:cs="Times New Roman"/>
          <w:color w:val="auto"/>
          <w:kern w:val="0"/>
          <w:sz w:val="28"/>
          <w:szCs w:val="28"/>
          <w:highlight w:val="none"/>
          <w:lang w:val="en-US" w:eastAsia="zh-CN" w:bidi="ar"/>
        </w:rPr>
        <w:t>风险物质为天然气。</w:t>
      </w:r>
    </w:p>
    <w:p>
      <w:pPr>
        <w:topLinePunct/>
        <w:autoSpaceDE/>
        <w:autoSpaceDN/>
        <w:spacing w:line="240" w:lineRule="auto"/>
        <w:ind w:firstLine="420"/>
        <w:jc w:val="center"/>
        <w:rPr>
          <w:rFonts w:hint="default" w:ascii="Times New Roman" w:hAnsi="Times New Roman" w:cs="Times New Roman"/>
          <w:b/>
          <w:color w:val="auto"/>
          <w:sz w:val="21"/>
          <w:szCs w:val="21"/>
        </w:rPr>
      </w:pPr>
    </w:p>
    <w:p>
      <w:pPr>
        <w:topLinePunct/>
        <w:autoSpaceDE/>
        <w:autoSpaceDN/>
        <w:spacing w:line="240" w:lineRule="auto"/>
        <w:ind w:firstLine="420"/>
        <w:jc w:val="center"/>
        <w:rPr>
          <w:rFonts w:hint="default" w:ascii="Times New Roman" w:hAnsi="Times New Roman" w:cs="Times New Roman"/>
          <w:b/>
          <w:color w:val="auto"/>
          <w:sz w:val="21"/>
          <w:szCs w:val="21"/>
        </w:rPr>
      </w:pPr>
      <w:r>
        <w:rPr>
          <w:rFonts w:hint="default" w:ascii="Times New Roman" w:hAnsi="Times New Roman" w:cs="Times New Roman"/>
          <w:b/>
          <w:color w:val="auto"/>
          <w:sz w:val="24"/>
          <w:szCs w:val="24"/>
        </w:rPr>
        <w:t>表</w:t>
      </w:r>
      <w:r>
        <w:rPr>
          <w:rFonts w:hint="eastAsia" w:ascii="Times New Roman" w:hAnsi="Times New Roman" w:cs="Times New Roman"/>
          <w:b/>
          <w:color w:val="auto"/>
          <w:sz w:val="24"/>
          <w:szCs w:val="24"/>
          <w:lang w:val="en-US" w:eastAsia="zh-CN"/>
        </w:rPr>
        <w:t xml:space="preserve">7-1 </w:t>
      </w:r>
      <w:r>
        <w:rPr>
          <w:rFonts w:hint="default" w:ascii="Times New Roman" w:hAnsi="Times New Roman" w:cs="Times New Roman"/>
          <w:b/>
          <w:color w:val="auto"/>
          <w:sz w:val="24"/>
          <w:szCs w:val="24"/>
        </w:rPr>
        <w:t>涉气风险物质识别表</w:t>
      </w:r>
    </w:p>
    <w:tbl>
      <w:tblPr>
        <w:tblStyle w:val="19"/>
        <w:tblW w:w="852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7"/>
        <w:gridCol w:w="1905"/>
        <w:gridCol w:w="1877"/>
        <w:gridCol w:w="1749"/>
        <w:gridCol w:w="206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blHeader/>
        </w:trPr>
        <w:tc>
          <w:tcPr>
            <w:tcW w:w="927"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1905"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名称</w:t>
            </w:r>
          </w:p>
        </w:tc>
        <w:tc>
          <w:tcPr>
            <w:tcW w:w="1877"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lang w:eastAsia="zh-CN"/>
              </w:rPr>
              <w:t>最大</w:t>
            </w:r>
            <w:r>
              <w:rPr>
                <w:rFonts w:hint="default" w:ascii="Times New Roman" w:hAnsi="Times New Roman" w:eastAsia="仿宋" w:cs="Times New Roman"/>
                <w:b/>
                <w:bCs/>
                <w:color w:val="auto"/>
                <w:sz w:val="24"/>
                <w:szCs w:val="24"/>
              </w:rPr>
              <w:t>储量/t</w:t>
            </w:r>
          </w:p>
        </w:tc>
        <w:tc>
          <w:tcPr>
            <w:tcW w:w="1749" w:type="dxa"/>
            <w:vAlign w:val="center"/>
          </w:tcPr>
          <w:p>
            <w:pPr>
              <w:keepNext w:val="0"/>
              <w:keepLines w:val="0"/>
              <w:pageBreakBefore w:val="0"/>
              <w:widowControl/>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临界量/t</w:t>
            </w:r>
          </w:p>
        </w:tc>
        <w:tc>
          <w:tcPr>
            <w:tcW w:w="2064" w:type="dxa"/>
            <w:vAlign w:val="center"/>
          </w:tcPr>
          <w:p>
            <w:pPr>
              <w:keepNext w:val="0"/>
              <w:keepLines w:val="0"/>
              <w:pageBreakBefore w:val="0"/>
              <w:widowControl/>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rPr>
            </w:pPr>
            <w:r>
              <w:rPr>
                <w:rFonts w:hint="eastAsia" w:ascii="Times New Roman" w:hAnsi="Times New Roman" w:cs="Times New Roman"/>
                <w:b/>
                <w:bCs/>
                <w:color w:val="auto"/>
                <w:sz w:val="24"/>
                <w:szCs w:val="24"/>
                <w:lang w:val="en-US" w:eastAsia="zh-CN"/>
              </w:rPr>
              <w:t>w</w:t>
            </w:r>
            <w:r>
              <w:rPr>
                <w:rFonts w:hint="default" w:ascii="Times New Roman" w:hAnsi="Times New Roman" w:eastAsia="仿宋" w:cs="Times New Roman"/>
                <w:b/>
                <w:bCs/>
                <w:color w:val="auto"/>
                <w:sz w:val="24"/>
                <w:szCs w:val="24"/>
                <w:vertAlign w:val="subscript"/>
              </w:rPr>
              <w:t>n</w:t>
            </w:r>
            <w:r>
              <w:rPr>
                <w:rFonts w:hint="default" w:ascii="Times New Roman" w:hAnsi="Times New Roman" w:eastAsia="仿宋" w:cs="Times New Roman"/>
                <w:b/>
                <w:bCs/>
                <w:color w:val="auto"/>
                <w:sz w:val="24"/>
                <w:szCs w:val="24"/>
              </w:rPr>
              <w:t>/</w:t>
            </w:r>
            <w:r>
              <w:rPr>
                <w:rFonts w:hint="eastAsia" w:ascii="Times New Roman" w:hAnsi="Times New Roman" w:cs="Times New Roman"/>
                <w:b/>
                <w:bCs/>
                <w:color w:val="auto"/>
                <w:sz w:val="24"/>
                <w:szCs w:val="24"/>
                <w:lang w:val="en-US" w:eastAsia="zh-CN"/>
              </w:rPr>
              <w:t>W</w:t>
            </w:r>
            <w:r>
              <w:rPr>
                <w:rFonts w:hint="default" w:ascii="Times New Roman" w:hAnsi="Times New Roman" w:eastAsia="仿宋" w:cs="Times New Roman"/>
                <w:b/>
                <w:bCs/>
                <w:color w:val="auto"/>
                <w:sz w:val="24"/>
                <w:szCs w:val="24"/>
                <w:vertAlign w:val="subscript"/>
              </w:rPr>
              <w:t>n</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927"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color w:val="auto"/>
                <w:sz w:val="24"/>
                <w:szCs w:val="24"/>
                <w:lang w:val="en-US" w:eastAsia="zh-CN"/>
              </w:rPr>
            </w:pPr>
            <w:r>
              <w:rPr>
                <w:rFonts w:hint="eastAsia" w:ascii="Times New Roman" w:hAnsi="Times New Roman" w:cs="Times New Roman"/>
                <w:color w:val="auto"/>
                <w:sz w:val="24"/>
                <w:szCs w:val="24"/>
                <w:lang w:val="en-US" w:eastAsia="zh-CN"/>
              </w:rPr>
              <w:t>1</w:t>
            </w:r>
          </w:p>
        </w:tc>
        <w:tc>
          <w:tcPr>
            <w:tcW w:w="1905" w:type="dxa"/>
            <w:vAlign w:val="center"/>
          </w:tcPr>
          <w:p>
            <w:pPr>
              <w:keepNext w:val="0"/>
              <w:keepLines w:val="0"/>
              <w:pageBreakBefore w:val="0"/>
              <w:suppressLineNumbers w:val="0"/>
              <w:kinsoku/>
              <w:wordWrap/>
              <w:overflowPunct/>
              <w:autoSpaceDE/>
              <w:autoSpaceDN/>
              <w:bidi w:val="0"/>
              <w:adjustRightInd/>
              <w:snapToGrid/>
              <w:spacing w:before="0" w:beforeAutospacing="0" w:after="0" w:afterAutospacing="0" w:line="360" w:lineRule="auto"/>
              <w:ind w:left="0" w:leftChars="0" w:right="0" w:rightChars="0"/>
              <w:jc w:val="center"/>
              <w:textAlignment w:val="auto"/>
              <w:outlineLvl w:val="9"/>
              <w:rPr>
                <w:rFonts w:hint="eastAsia" w:ascii="Times New Roman" w:hAnsi="Times New Roman" w:eastAsia="仿宋" w:cs="Times New Roman"/>
                <w:color w:val="auto"/>
                <w:sz w:val="24"/>
                <w:szCs w:val="24"/>
                <w:highlight w:val="none"/>
                <w:lang w:eastAsia="zh-CN"/>
              </w:rPr>
            </w:pPr>
            <w:r>
              <w:rPr>
                <w:rFonts w:hint="eastAsia" w:ascii="Times New Roman" w:hAnsi="Times New Roman" w:cs="Times New Roman"/>
                <w:color w:val="auto"/>
                <w:sz w:val="24"/>
                <w:szCs w:val="24"/>
                <w:highlight w:val="none"/>
                <w:lang w:eastAsia="zh-CN"/>
              </w:rPr>
              <w:t>天然气</w:t>
            </w:r>
          </w:p>
        </w:tc>
        <w:tc>
          <w:tcPr>
            <w:tcW w:w="1877" w:type="dxa"/>
            <w:vAlign w:val="center"/>
          </w:tcPr>
          <w:p>
            <w:pPr>
              <w:keepNext w:val="0"/>
              <w:keepLines w:val="0"/>
              <w:pageBreakBefore w:val="0"/>
              <w:suppressLineNumbers w:val="0"/>
              <w:kinsoku/>
              <w:wordWrap/>
              <w:overflowPunct/>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0.8</w:t>
            </w:r>
          </w:p>
        </w:tc>
        <w:tc>
          <w:tcPr>
            <w:tcW w:w="1749"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leftChars="0" w:right="0" w:rightChars="0"/>
              <w:jc w:val="center"/>
              <w:textAlignment w:val="auto"/>
              <w:outlineLvl w:val="9"/>
              <w:rPr>
                <w:rFonts w:hint="eastAsia" w:ascii="Times New Roman" w:hAnsi="Times New Roman" w:eastAsia="仿宋" w:cs="Times New Roman"/>
                <w:color w:val="auto"/>
                <w:sz w:val="24"/>
                <w:szCs w:val="24"/>
                <w:lang w:val="en-US" w:eastAsia="zh-CN"/>
              </w:rPr>
            </w:pPr>
            <w:r>
              <w:rPr>
                <w:rFonts w:hint="eastAsia" w:ascii="Times New Roman" w:hAnsi="Times New Roman" w:cs="Times New Roman"/>
                <w:color w:val="auto"/>
                <w:sz w:val="24"/>
                <w:szCs w:val="24"/>
                <w:lang w:val="en-US" w:eastAsia="zh-CN"/>
              </w:rPr>
              <w:t>1</w:t>
            </w:r>
            <w:r>
              <w:rPr>
                <w:rFonts w:hint="eastAsia" w:ascii="Times New Roman" w:hAnsi="Times New Roman" w:eastAsia="仿宋" w:cs="Times New Roman"/>
                <w:color w:val="auto"/>
                <w:sz w:val="24"/>
                <w:szCs w:val="24"/>
                <w:lang w:val="en-US" w:eastAsia="zh-CN"/>
              </w:rPr>
              <w:t>0</w:t>
            </w:r>
          </w:p>
        </w:tc>
        <w:tc>
          <w:tcPr>
            <w:tcW w:w="2064"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0.08</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6458" w:type="dxa"/>
            <w:gridSpan w:val="4"/>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合计</w:t>
            </w:r>
          </w:p>
        </w:tc>
        <w:tc>
          <w:tcPr>
            <w:tcW w:w="2064" w:type="dxa"/>
            <w:vAlign w:val="center"/>
          </w:tcPr>
          <w:p>
            <w:pPr>
              <w:keepNext w:val="0"/>
              <w:keepLines w:val="0"/>
              <w:pageBreakBefore w:val="0"/>
              <w:suppressLineNumbers w:val="0"/>
              <w:kinsoku/>
              <w:wordWrap/>
              <w:overflowPunct/>
              <w:topLinePunct/>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0.08</w:t>
            </w:r>
          </w:p>
        </w:tc>
      </w:tr>
    </w:tbl>
    <w:p>
      <w:pPr>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right="0" w:firstLine="560" w:firstLineChars="200"/>
        <w:jc w:val="left"/>
        <w:textAlignment w:val="auto"/>
        <w:outlineLvl w:val="9"/>
        <w:rPr>
          <w:rFonts w:hint="eastAsia" w:ascii="Times New Roman" w:hAnsi="Times New Roman" w:cs="Times New Roman"/>
          <w:color w:val="auto"/>
          <w:sz w:val="30"/>
          <w:szCs w:val="30"/>
          <w:lang w:val="en-US" w:eastAsia="zh-CN"/>
        </w:rPr>
      </w:pPr>
      <w:r>
        <w:rPr>
          <w:rFonts w:hint="eastAsia" w:ascii="Times New Roman" w:hAnsi="Times New Roman" w:cs="Times New Roman"/>
          <w:color w:val="auto"/>
          <w:kern w:val="0"/>
          <w:sz w:val="28"/>
          <w:szCs w:val="28"/>
          <w:highlight w:val="none"/>
          <w:lang w:val="en-US" w:eastAsia="zh-CN" w:bidi="ar"/>
        </w:rPr>
        <w:t>各涉气物质最大暂存量与临界量比值Q＜1。因此，属于一般环境风险等级，</w:t>
      </w:r>
      <w:r>
        <w:rPr>
          <w:rFonts w:hint="default" w:ascii="Times New Roman" w:hAnsi="Times New Roman" w:eastAsia="仿宋" w:cs="Times New Roman"/>
          <w:color w:val="auto"/>
          <w:kern w:val="0"/>
          <w:sz w:val="28"/>
          <w:szCs w:val="28"/>
          <w:highlight w:val="none"/>
          <w:lang w:val="en-US" w:eastAsia="zh-CN" w:bidi="ar"/>
        </w:rPr>
        <w:t>表示为</w:t>
      </w:r>
      <w:r>
        <w:rPr>
          <w:rFonts w:hint="eastAsia" w:ascii="Times New Roman" w:hAnsi="Times New Roman" w:eastAsia="仿宋" w:cs="Times New Roman"/>
          <w:color w:val="auto"/>
          <w:kern w:val="0"/>
          <w:sz w:val="28"/>
          <w:szCs w:val="28"/>
          <w:highlight w:val="none"/>
          <w:lang w:val="en-US" w:eastAsia="zh-CN" w:bidi="ar"/>
        </w:rPr>
        <w:t>“</w:t>
      </w:r>
      <w:r>
        <w:rPr>
          <w:rFonts w:hint="eastAsia" w:ascii="Times New Roman" w:hAnsi="Times New Roman" w:eastAsia="仿宋" w:cs="Times New Roman"/>
          <w:b/>
          <w:bCs/>
          <w:color w:val="auto"/>
          <w:kern w:val="0"/>
          <w:sz w:val="28"/>
          <w:szCs w:val="28"/>
          <w:highlight w:val="none"/>
          <w:lang w:val="en-US" w:eastAsia="zh-CN" w:bidi="ar"/>
        </w:rPr>
        <w:t>一般-</w:t>
      </w:r>
      <w:r>
        <w:rPr>
          <w:rFonts w:hint="eastAsia" w:ascii="Times New Roman" w:hAnsi="Times New Roman" w:cs="Times New Roman"/>
          <w:b/>
          <w:bCs/>
          <w:color w:val="auto"/>
          <w:kern w:val="0"/>
          <w:sz w:val="28"/>
          <w:szCs w:val="28"/>
          <w:highlight w:val="none"/>
          <w:lang w:val="en-US" w:eastAsia="zh-CN" w:bidi="ar"/>
        </w:rPr>
        <w:t>大气</w:t>
      </w:r>
      <w:r>
        <w:rPr>
          <w:rFonts w:hint="eastAsia" w:ascii="Times New Roman" w:hAnsi="Times New Roman" w:eastAsia="仿宋" w:cs="Times New Roman"/>
          <w:b/>
          <w:bCs/>
          <w:color w:val="auto"/>
          <w:kern w:val="0"/>
          <w:sz w:val="28"/>
          <w:szCs w:val="28"/>
          <w:highlight w:val="none"/>
          <w:lang w:val="en-US" w:eastAsia="zh-CN" w:bidi="ar"/>
        </w:rPr>
        <w:t>（</w:t>
      </w:r>
      <w:r>
        <w:rPr>
          <w:rFonts w:hint="default" w:ascii="Times New Roman" w:hAnsi="Times New Roman" w:eastAsia="仿宋" w:cs="Times New Roman"/>
          <w:b/>
          <w:bCs/>
          <w:color w:val="auto"/>
          <w:kern w:val="0"/>
          <w:sz w:val="28"/>
          <w:szCs w:val="28"/>
          <w:highlight w:val="none"/>
          <w:lang w:val="en-US" w:eastAsia="zh-CN" w:bidi="ar"/>
        </w:rPr>
        <w:t>Q</w:t>
      </w:r>
      <w:r>
        <w:rPr>
          <w:rFonts w:hint="eastAsia" w:ascii="Times New Roman" w:hAnsi="Times New Roman" w:eastAsia="仿宋" w:cs="Times New Roman"/>
          <w:b/>
          <w:bCs/>
          <w:color w:val="auto"/>
          <w:kern w:val="0"/>
          <w:sz w:val="28"/>
          <w:szCs w:val="28"/>
          <w:highlight w:val="none"/>
          <w:lang w:val="en-US" w:eastAsia="zh-CN" w:bidi="ar"/>
        </w:rPr>
        <w:t>0）</w:t>
      </w:r>
      <w:r>
        <w:rPr>
          <w:rFonts w:hint="eastAsia" w:ascii="Times New Roman" w:hAnsi="Times New Roman" w:eastAsia="仿宋" w:cs="Times New Roman"/>
          <w:color w:val="auto"/>
          <w:kern w:val="0"/>
          <w:sz w:val="28"/>
          <w:szCs w:val="28"/>
          <w:highlight w:val="none"/>
          <w:lang w:val="en-US" w:eastAsia="zh-CN" w:bidi="ar"/>
        </w:rPr>
        <w:t>”。</w:t>
      </w:r>
    </w:p>
    <w:p>
      <w:pPr>
        <w:pStyle w:val="2"/>
        <w:rPr>
          <w:rFonts w:hint="eastAsia"/>
          <w:color w:val="auto"/>
          <w:lang w:val="en-US" w:eastAsia="zh-CN"/>
        </w:rPr>
      </w:pPr>
      <w:bookmarkStart w:id="276" w:name="_Toc7385"/>
      <w:bookmarkStart w:id="277" w:name="_Toc19606"/>
      <w:r>
        <w:rPr>
          <w:rFonts w:hint="default" w:ascii="Times New Roman" w:hAnsi="Times New Roman" w:cs="Times New Roman"/>
          <w:color w:val="auto"/>
          <w:sz w:val="30"/>
          <w:szCs w:val="30"/>
          <w:lang w:val="en-US" w:eastAsia="zh-CN"/>
        </w:rPr>
        <w:t>7.</w:t>
      </w:r>
      <w:r>
        <w:rPr>
          <w:rFonts w:hint="eastAsia" w:ascii="Times New Roman" w:hAnsi="Times New Roman" w:cs="Times New Roman"/>
          <w:color w:val="auto"/>
          <w:sz w:val="30"/>
          <w:szCs w:val="30"/>
          <w:lang w:val="en-US" w:eastAsia="zh-CN"/>
        </w:rPr>
        <w:t>3 突发水环境事件风险分级</w:t>
      </w:r>
      <w:bookmarkEnd w:id="276"/>
      <w:bookmarkEnd w:id="277"/>
    </w:p>
    <w:p>
      <w:pPr>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right="0" w:firstLine="560" w:firstLineChars="200"/>
        <w:jc w:val="both"/>
        <w:textAlignment w:val="auto"/>
        <w:outlineLvl w:val="9"/>
        <w:rPr>
          <w:rFonts w:hint="eastAsia"/>
          <w:color w:val="auto"/>
          <w:lang w:val="en-US" w:eastAsia="zh-CN"/>
        </w:rPr>
      </w:pPr>
      <w:r>
        <w:rPr>
          <w:rFonts w:hint="eastAsia" w:ascii="Times New Roman" w:hAnsi="Times New Roman" w:cs="Times New Roman"/>
          <w:color w:val="auto"/>
          <w:kern w:val="0"/>
          <w:sz w:val="28"/>
          <w:szCs w:val="28"/>
          <w:highlight w:val="none"/>
          <w:lang w:val="en-US" w:eastAsia="zh-CN" w:bidi="ar"/>
        </w:rPr>
        <w:t>本公司无涉水风险，因此，属于一般环境风险等级，</w:t>
      </w:r>
      <w:r>
        <w:rPr>
          <w:rFonts w:hint="default" w:ascii="Times New Roman" w:hAnsi="Times New Roman" w:eastAsia="仿宋" w:cs="Times New Roman"/>
          <w:color w:val="auto"/>
          <w:kern w:val="0"/>
          <w:sz w:val="28"/>
          <w:szCs w:val="28"/>
          <w:highlight w:val="none"/>
          <w:lang w:val="en-US" w:eastAsia="zh-CN" w:bidi="ar"/>
        </w:rPr>
        <w:t>表示为</w:t>
      </w:r>
      <w:r>
        <w:rPr>
          <w:rFonts w:hint="eastAsia" w:ascii="Times New Roman" w:hAnsi="Times New Roman" w:eastAsia="仿宋" w:cs="Times New Roman"/>
          <w:color w:val="auto"/>
          <w:kern w:val="0"/>
          <w:sz w:val="28"/>
          <w:szCs w:val="28"/>
          <w:highlight w:val="none"/>
          <w:lang w:val="en-US" w:eastAsia="zh-CN" w:bidi="ar"/>
        </w:rPr>
        <w:t>“</w:t>
      </w:r>
      <w:r>
        <w:rPr>
          <w:rFonts w:hint="eastAsia" w:ascii="Times New Roman" w:hAnsi="Times New Roman" w:eastAsia="仿宋" w:cs="Times New Roman"/>
          <w:b/>
          <w:bCs/>
          <w:color w:val="auto"/>
          <w:kern w:val="0"/>
          <w:sz w:val="28"/>
          <w:szCs w:val="28"/>
          <w:highlight w:val="none"/>
          <w:lang w:val="en-US" w:eastAsia="zh-CN" w:bidi="ar"/>
        </w:rPr>
        <w:t>一般-</w:t>
      </w:r>
      <w:r>
        <w:rPr>
          <w:rFonts w:hint="eastAsia" w:ascii="Times New Roman" w:hAnsi="Times New Roman" w:cs="Times New Roman"/>
          <w:b/>
          <w:bCs/>
          <w:color w:val="auto"/>
          <w:kern w:val="0"/>
          <w:sz w:val="28"/>
          <w:szCs w:val="28"/>
          <w:highlight w:val="none"/>
          <w:lang w:val="en-US" w:eastAsia="zh-CN" w:bidi="ar"/>
        </w:rPr>
        <w:t>水</w:t>
      </w:r>
      <w:r>
        <w:rPr>
          <w:rFonts w:hint="eastAsia" w:ascii="Times New Roman" w:hAnsi="Times New Roman" w:eastAsia="仿宋" w:cs="Times New Roman"/>
          <w:b/>
          <w:bCs/>
          <w:color w:val="auto"/>
          <w:kern w:val="0"/>
          <w:sz w:val="28"/>
          <w:szCs w:val="28"/>
          <w:highlight w:val="none"/>
          <w:lang w:val="en-US" w:eastAsia="zh-CN" w:bidi="ar"/>
        </w:rPr>
        <w:t>（</w:t>
      </w:r>
      <w:r>
        <w:rPr>
          <w:rFonts w:hint="default" w:ascii="Times New Roman" w:hAnsi="Times New Roman" w:eastAsia="仿宋" w:cs="Times New Roman"/>
          <w:b/>
          <w:bCs/>
          <w:color w:val="auto"/>
          <w:kern w:val="0"/>
          <w:sz w:val="28"/>
          <w:szCs w:val="28"/>
          <w:highlight w:val="none"/>
          <w:lang w:val="en-US" w:eastAsia="zh-CN" w:bidi="ar"/>
        </w:rPr>
        <w:t>Q</w:t>
      </w:r>
      <w:r>
        <w:rPr>
          <w:rFonts w:hint="eastAsia" w:ascii="Times New Roman" w:hAnsi="Times New Roman" w:eastAsia="仿宋" w:cs="Times New Roman"/>
          <w:b/>
          <w:bCs/>
          <w:color w:val="auto"/>
          <w:kern w:val="0"/>
          <w:sz w:val="28"/>
          <w:szCs w:val="28"/>
          <w:highlight w:val="none"/>
          <w:lang w:val="en-US" w:eastAsia="zh-CN" w:bidi="ar"/>
        </w:rPr>
        <w:t>0）</w:t>
      </w:r>
      <w:r>
        <w:rPr>
          <w:rFonts w:hint="eastAsia" w:ascii="Times New Roman" w:hAnsi="Times New Roman" w:eastAsia="仿宋" w:cs="Times New Roman"/>
          <w:color w:val="auto"/>
          <w:kern w:val="0"/>
          <w:sz w:val="28"/>
          <w:szCs w:val="28"/>
          <w:highlight w:val="none"/>
          <w:lang w:val="en-US" w:eastAsia="zh-CN" w:bidi="ar"/>
        </w:rPr>
        <w:t>”。</w:t>
      </w:r>
    </w:p>
    <w:p>
      <w:pPr>
        <w:pStyle w:val="2"/>
        <w:rPr>
          <w:rFonts w:hint="default" w:ascii="Times New Roman" w:hAnsi="Times New Roman" w:cs="Times New Roman"/>
          <w:color w:val="auto"/>
          <w:sz w:val="30"/>
          <w:szCs w:val="30"/>
          <w:lang w:val="en-US" w:eastAsia="zh-CN"/>
        </w:rPr>
      </w:pPr>
      <w:bookmarkStart w:id="278" w:name="_Toc25288"/>
      <w:bookmarkStart w:id="279" w:name="_Toc32301"/>
      <w:r>
        <w:rPr>
          <w:rFonts w:hint="eastAsia" w:ascii="Times New Roman" w:hAnsi="Times New Roman" w:cs="Times New Roman"/>
          <w:color w:val="auto"/>
          <w:sz w:val="30"/>
          <w:szCs w:val="30"/>
          <w:lang w:val="en-US" w:eastAsia="zh-CN"/>
        </w:rPr>
        <w:t>7.4 风险等级表征</w:t>
      </w:r>
      <w:bookmarkEnd w:id="278"/>
      <w:bookmarkEnd w:id="279"/>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default"/>
          <w:color w:val="auto"/>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eastAsia" w:ascii="Times New Roman" w:hAnsi="Times New Roman" w:cs="Times New Roman"/>
          <w:color w:val="auto"/>
          <w:kern w:val="0"/>
          <w:sz w:val="28"/>
          <w:szCs w:val="28"/>
          <w:highlight w:val="none"/>
          <w:lang w:val="en-US" w:eastAsia="zh-CN" w:bidi="ar"/>
        </w:rPr>
        <w:t>根据分析，咸阳市秦都区宏大建材厂</w:t>
      </w:r>
      <w:r>
        <w:rPr>
          <w:rFonts w:hint="default" w:ascii="Times New Roman" w:hAnsi="Times New Roman" w:eastAsia="仿宋" w:cs="Times New Roman"/>
          <w:color w:val="auto"/>
          <w:kern w:val="0"/>
          <w:sz w:val="28"/>
          <w:szCs w:val="28"/>
          <w:highlight w:val="none"/>
          <w:lang w:val="en-US" w:eastAsia="zh-CN" w:bidi="ar"/>
        </w:rPr>
        <w:t>同时涉及突发大气和水环境事件风险的企业，风险等级表示为“</w:t>
      </w:r>
      <w:r>
        <w:rPr>
          <w:rFonts w:hint="eastAsia" w:ascii="Times New Roman" w:hAnsi="Times New Roman" w:cs="Times New Roman"/>
          <w:b/>
          <w:bCs/>
          <w:color w:val="auto"/>
          <w:kern w:val="0"/>
          <w:sz w:val="28"/>
          <w:szCs w:val="28"/>
          <w:highlight w:val="none"/>
          <w:lang w:val="en-US" w:eastAsia="zh-CN" w:bidi="ar"/>
        </w:rPr>
        <w:t>一般[一般-大气（Q0）+一般-水（Q0）]</w:t>
      </w:r>
      <w:r>
        <w:rPr>
          <w:rFonts w:hint="default" w:ascii="Times New Roman" w:hAnsi="Times New Roman" w:eastAsia="仿宋" w:cs="Times New Roman"/>
          <w:color w:val="auto"/>
          <w:kern w:val="0"/>
          <w:sz w:val="28"/>
          <w:szCs w:val="28"/>
          <w:highlight w:val="none"/>
          <w:lang w:val="en-US" w:eastAsia="zh-CN" w:bidi="ar"/>
        </w:rPr>
        <w:t>”</w:t>
      </w:r>
      <w:r>
        <w:rPr>
          <w:rFonts w:hint="eastAsia" w:ascii="Times New Roman" w:hAnsi="Times New Roman" w:cs="Times New Roman"/>
          <w:color w:val="auto"/>
          <w:kern w:val="0"/>
          <w:sz w:val="28"/>
          <w:szCs w:val="28"/>
          <w:highlight w:val="none"/>
          <w:lang w:val="en-US" w:eastAsia="zh-CN" w:bidi="ar"/>
        </w:rPr>
        <w:t>。</w:t>
      </w: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bookmarkStart w:id="280" w:name="_Toc3213"/>
      <w:bookmarkStart w:id="281" w:name="_Toc13672"/>
      <w:r>
        <w:rPr>
          <w:rFonts w:hint="default" w:ascii="Times New Roman" w:hAnsi="Times New Roman" w:cs="Times New Roman"/>
          <w:color w:val="auto"/>
          <w:kern w:val="2"/>
          <w:sz w:val="30"/>
          <w:szCs w:val="20"/>
          <w:highlight w:val="none"/>
          <w:lang w:val="en-US" w:eastAsia="zh-CN" w:bidi="ar-SA"/>
        </w:rPr>
        <w:t>附件</w:t>
      </w:r>
      <w:r>
        <w:rPr>
          <w:rFonts w:hint="eastAsia" w:ascii="Times New Roman" w:hAnsi="Times New Roman" w:cs="Times New Roman"/>
          <w:color w:val="auto"/>
          <w:kern w:val="2"/>
          <w:sz w:val="30"/>
          <w:szCs w:val="20"/>
          <w:highlight w:val="none"/>
          <w:lang w:val="en-US" w:eastAsia="zh-CN" w:bidi="ar-SA"/>
        </w:rPr>
        <w:t>一</w:t>
      </w:r>
      <w:r>
        <w:rPr>
          <w:rFonts w:hint="default" w:ascii="Times New Roman" w:hAnsi="Times New Roman" w:cs="Times New Roman"/>
          <w:color w:val="auto"/>
          <w:kern w:val="2"/>
          <w:sz w:val="30"/>
          <w:szCs w:val="20"/>
          <w:highlight w:val="none"/>
          <w:lang w:val="en-US" w:eastAsia="zh-CN" w:bidi="ar-SA"/>
        </w:rPr>
        <w:t xml:space="preserve"> 企业地理位置图</w:t>
      </w:r>
      <w:bookmarkEnd w:id="280"/>
      <w:bookmarkEnd w:id="281"/>
      <w:bookmarkStart w:id="302" w:name="_GoBack"/>
      <w:bookmarkEnd w:id="302"/>
    </w:p>
    <w:p>
      <w:pPr>
        <w:jc w:val="center"/>
        <w:rPr>
          <w:rFonts w:hint="default"/>
          <w:lang w:val="en-US" w:eastAsia="zh-CN"/>
        </w:rPr>
        <w:sectPr>
          <w:pgSz w:w="16838" w:h="11906" w:orient="landscape"/>
          <w:pgMar w:top="1440" w:right="1080" w:bottom="1440" w:left="108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drawing>
          <wp:inline distT="0" distB="0" distL="114300" distR="114300">
            <wp:extent cx="7747635" cy="5009515"/>
            <wp:effectExtent l="0" t="0" r="5715" b="63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1"/>
                    <a:stretch>
                      <a:fillRect/>
                    </a:stretch>
                  </pic:blipFill>
                  <pic:spPr>
                    <a:xfrm>
                      <a:off x="0" y="0"/>
                      <a:ext cx="7747635" cy="5009515"/>
                    </a:xfrm>
                    <a:prstGeom prst="rect">
                      <a:avLst/>
                    </a:prstGeom>
                    <a:noFill/>
                    <a:ln w="9525">
                      <a:noFill/>
                    </a:ln>
                  </pic:spPr>
                </pic:pic>
              </a:graphicData>
            </a:graphic>
          </wp:inline>
        </w:drawing>
      </w: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bookmarkStart w:id="282" w:name="_Toc17631"/>
      <w:bookmarkStart w:id="283" w:name="_Toc31505"/>
      <w:r>
        <w:rPr>
          <w:rFonts w:hint="default" w:ascii="Times New Roman" w:hAnsi="Times New Roman" w:cs="Times New Roman"/>
          <w:color w:val="auto"/>
          <w:kern w:val="2"/>
          <w:sz w:val="30"/>
          <w:szCs w:val="20"/>
          <w:highlight w:val="none"/>
          <w:lang w:val="en-US" w:eastAsia="zh-CN" w:bidi="ar-SA"/>
        </w:rPr>
        <w:t>附件</w:t>
      </w:r>
      <w:r>
        <w:rPr>
          <w:rFonts w:hint="eastAsia" w:ascii="Times New Roman" w:hAnsi="Times New Roman" w:cs="Times New Roman"/>
          <w:color w:val="auto"/>
          <w:kern w:val="2"/>
          <w:sz w:val="30"/>
          <w:szCs w:val="20"/>
          <w:highlight w:val="none"/>
          <w:lang w:val="en-US" w:eastAsia="zh-CN" w:bidi="ar-SA"/>
        </w:rPr>
        <w:t>二</w:t>
      </w:r>
      <w:r>
        <w:rPr>
          <w:rFonts w:hint="default" w:ascii="Times New Roman" w:hAnsi="Times New Roman" w:cs="Times New Roman"/>
          <w:color w:val="auto"/>
          <w:kern w:val="2"/>
          <w:sz w:val="30"/>
          <w:szCs w:val="20"/>
          <w:highlight w:val="none"/>
          <w:lang w:val="en-US" w:eastAsia="zh-CN" w:bidi="ar-SA"/>
        </w:rPr>
        <w:t xml:space="preserve"> 厂区平面布置图</w:t>
      </w:r>
      <w:bookmarkEnd w:id="282"/>
      <w:bookmarkEnd w:id="283"/>
    </w:p>
    <w:p>
      <w:pPr>
        <w:jc w:val="center"/>
        <w:rPr>
          <w:rFonts w:hint="default"/>
          <w:lang w:val="en-US" w:eastAsia="zh-CN"/>
        </w:rPr>
      </w:pPr>
      <w:r>
        <w:drawing>
          <wp:inline distT="0" distB="0" distL="114300" distR="114300">
            <wp:extent cx="7500620" cy="5256530"/>
            <wp:effectExtent l="0" t="0" r="5080" b="127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2"/>
                    <a:stretch>
                      <a:fillRect/>
                    </a:stretch>
                  </pic:blipFill>
                  <pic:spPr>
                    <a:xfrm>
                      <a:off x="0" y="0"/>
                      <a:ext cx="7500620" cy="5256530"/>
                    </a:xfrm>
                    <a:prstGeom prst="rect">
                      <a:avLst/>
                    </a:prstGeom>
                    <a:noFill/>
                    <a:ln w="9525">
                      <a:noFill/>
                    </a:ln>
                  </pic:spPr>
                </pic:pic>
              </a:graphicData>
            </a:graphic>
          </wp:inline>
        </w:drawing>
      </w:r>
    </w:p>
    <w:p>
      <w:pPr>
        <w:jc w:val="center"/>
        <w:rPr>
          <w:rFonts w:hint="default"/>
          <w:color w:val="auto"/>
          <w:lang w:val="en-US" w:eastAsia="zh-CN"/>
        </w:rPr>
        <w:sectPr>
          <w:pgSz w:w="16838" w:h="11906" w:orient="landscape"/>
          <w:pgMar w:top="1440" w:right="1080" w:bottom="1440" w:left="108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color w:val="auto"/>
        </w:rPr>
        <mc:AlternateContent>
          <mc:Choice Requires="wps">
            <w:drawing>
              <wp:anchor distT="0" distB="0" distL="114300" distR="114300" simplePos="0" relativeHeight="253900800" behindDoc="0" locked="0" layoutInCell="1" allowOverlap="1">
                <wp:simplePos x="0" y="0"/>
                <wp:positionH relativeFrom="column">
                  <wp:posOffset>7798435</wp:posOffset>
                </wp:positionH>
                <wp:positionV relativeFrom="paragraph">
                  <wp:posOffset>-4781550</wp:posOffset>
                </wp:positionV>
                <wp:extent cx="466725" cy="35306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6725" cy="35306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28"/>
                                <w:szCs w:val="36"/>
                                <w:lang w:val="en-US" w:eastAsia="zh-CN"/>
                              </w:rPr>
                            </w:pPr>
                            <w:r>
                              <w:rPr>
                                <w:rFonts w:hint="eastAsia"/>
                                <w:b/>
                                <w:bCs/>
                                <w:color w:val="FF0000"/>
                                <w:sz w:val="28"/>
                                <w:szCs w:val="36"/>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14.05pt;margin-top:-376.5pt;height:27.8pt;width:36.75pt;z-index:253900800;mso-width-relative:page;mso-height-relative:page;" filled="f" stroked="f" coordsize="21600,21600" o:gfxdata="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IGrVYnfAAAADwEAAA8AAAAAAAAAAQAgAAAAIgAAAGRycy9kb3ducmV2LnhtbFBLAQIUABQAAAAI&#10;AIdO4kAM9/4QHwIAABcEAAAOAAAAAAAAAAEAIAAAAC4BAABkcnMvZTJvRG9jLnhtbFBLBQYAAAAA&#10;BgAGAFkBAAC/BQAAAAA=&#10;">
                <v:fill on="f" focussize="0,0"/>
                <v:stroke on="f" weight="0.5pt"/>
                <v:imagedata o:title=""/>
                <o:lock v:ext="edit" aspectratio="f"/>
                <v:textbox>
                  <w:txbxContent>
                    <w:p>
                      <w:pPr>
                        <w:rPr>
                          <w:rFonts w:hint="eastAsia" w:eastAsiaTheme="minorEastAsia"/>
                          <w:b/>
                          <w:bCs/>
                          <w:color w:val="FF0000"/>
                          <w:sz w:val="28"/>
                          <w:szCs w:val="36"/>
                          <w:lang w:val="en-US" w:eastAsia="zh-CN"/>
                        </w:rPr>
                      </w:pPr>
                      <w:r>
                        <w:rPr>
                          <w:rFonts w:hint="eastAsia"/>
                          <w:b/>
                          <w:bCs/>
                          <w:color w:val="FF0000"/>
                          <w:sz w:val="28"/>
                          <w:szCs w:val="36"/>
                          <w:lang w:val="en-US" w:eastAsia="zh-CN"/>
                        </w:rPr>
                        <w:t>N</w:t>
                      </w:r>
                    </w:p>
                  </w:txbxContent>
                </v:textbox>
              </v:shape>
            </w:pict>
          </mc:Fallback>
        </mc:AlternateContent>
      </w:r>
      <w:r>
        <w:rPr>
          <w:color w:val="auto"/>
        </w:rPr>
        <mc:AlternateContent>
          <mc:Choice Requires="wps">
            <w:drawing>
              <wp:anchor distT="0" distB="0" distL="114300" distR="114300" simplePos="0" relativeHeight="253792256" behindDoc="0" locked="0" layoutInCell="1" allowOverlap="1">
                <wp:simplePos x="0" y="0"/>
                <wp:positionH relativeFrom="column">
                  <wp:posOffset>7907655</wp:posOffset>
                </wp:positionH>
                <wp:positionV relativeFrom="paragraph">
                  <wp:posOffset>-4412615</wp:posOffset>
                </wp:positionV>
                <wp:extent cx="76200" cy="206375"/>
                <wp:effectExtent l="15240" t="8890" r="22860" b="13335"/>
                <wp:wrapNone/>
                <wp:docPr id="1" name="上箭头 1"/>
                <wp:cNvGraphicFramePr/>
                <a:graphic xmlns:a="http://schemas.openxmlformats.org/drawingml/2006/main">
                  <a:graphicData uri="http://schemas.microsoft.com/office/word/2010/wordprocessingShape">
                    <wps:wsp>
                      <wps:cNvSpPr/>
                      <wps:spPr>
                        <a:xfrm>
                          <a:off x="0" y="0"/>
                          <a:ext cx="76200" cy="206375"/>
                        </a:xfrm>
                        <a:prstGeom prst="upArrow">
                          <a:avLst/>
                        </a:prstGeom>
                        <a:solidFill>
                          <a:srgbClr val="FF0000"/>
                        </a:solidFill>
                        <a:ln cap="flat">
                          <a:solidFill>
                            <a:srgbClr val="FF0000"/>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8" type="#_x0000_t68" style="position:absolute;left:0pt;margin-left:622.65pt;margin-top:-347.45pt;height:16.25pt;width:6pt;z-index:253792256;v-text-anchor:middle;mso-width-relative:page;mso-height-relative:page;" fillcolor="#FF0000" filled="t" stroked="t" coordsize="21600,21600" o:gfxdata="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b/wwI&#10;2wAAAA8BAAAPAAAAAAAAAAEAIAAAACIAAABkcnMvZG93bnJldi54bWxQSwECFAAUAAAACACHTuJA&#10;P8iIv1cCAACqBAAADgAAAAAAAAABACAAAAAqAQAAZHJzL2Uyb0RvYy54bWxQSwUGAAAAAAYABgBZ&#10;AQAA8wUAAAAA&#10;" adj="3987,5400">
                <v:fill on="t" focussize="0,0"/>
                <v:stroke weight="1pt" color="#FF0000 [3204]" miterlimit="8" joinstyle="miter"/>
                <v:imagedata o:title=""/>
                <o:lock v:ext="edit" aspectratio="f"/>
              </v:shape>
            </w:pict>
          </mc:Fallback>
        </mc:AlternateContent>
      </w: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bookmarkStart w:id="284" w:name="_Toc26689"/>
      <w:bookmarkStart w:id="285" w:name="_Toc11145"/>
      <w:r>
        <w:rPr>
          <w:rFonts w:hint="default" w:ascii="Times New Roman" w:hAnsi="Times New Roman" w:cs="Times New Roman"/>
          <w:color w:val="auto"/>
          <w:kern w:val="2"/>
          <w:sz w:val="30"/>
          <w:szCs w:val="20"/>
          <w:highlight w:val="none"/>
          <w:lang w:val="en-US" w:eastAsia="zh-CN" w:bidi="ar-SA"/>
        </w:rPr>
        <w:t>附件</w:t>
      </w:r>
      <w:r>
        <w:rPr>
          <w:rFonts w:hint="eastAsia" w:ascii="Times New Roman" w:hAnsi="Times New Roman" w:cs="Times New Roman"/>
          <w:color w:val="auto"/>
          <w:kern w:val="2"/>
          <w:sz w:val="30"/>
          <w:szCs w:val="20"/>
          <w:highlight w:val="none"/>
          <w:lang w:val="en-US" w:eastAsia="zh-CN" w:bidi="ar-SA"/>
        </w:rPr>
        <w:t>三</w:t>
      </w:r>
      <w:r>
        <w:rPr>
          <w:rFonts w:hint="default" w:ascii="Times New Roman" w:hAnsi="Times New Roman" w:cs="Times New Roman"/>
          <w:color w:val="auto"/>
          <w:kern w:val="2"/>
          <w:sz w:val="30"/>
          <w:szCs w:val="20"/>
          <w:highlight w:val="none"/>
          <w:lang w:val="en-US" w:eastAsia="zh-CN" w:bidi="ar-SA"/>
        </w:rPr>
        <w:t xml:space="preserve"> 周边环境风险受体分布图</w:t>
      </w:r>
      <w:bookmarkEnd w:id="284"/>
      <w:bookmarkEnd w:id="285"/>
    </w:p>
    <w:p>
      <w:pPr>
        <w:pStyle w:val="2"/>
        <w:jc w:val="center"/>
      </w:pPr>
      <w:r>
        <w:drawing>
          <wp:inline distT="0" distB="0" distL="114300" distR="114300">
            <wp:extent cx="6667500" cy="4888865"/>
            <wp:effectExtent l="0" t="0" r="0" b="698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3"/>
                    <a:stretch>
                      <a:fillRect/>
                    </a:stretch>
                  </pic:blipFill>
                  <pic:spPr>
                    <a:xfrm>
                      <a:off x="0" y="0"/>
                      <a:ext cx="6667500" cy="4888865"/>
                    </a:xfrm>
                    <a:prstGeom prst="rect">
                      <a:avLst/>
                    </a:prstGeom>
                    <a:noFill/>
                    <a:ln w="9525">
                      <a:noFill/>
                    </a:ln>
                  </pic:spPr>
                </pic:pic>
              </a:graphicData>
            </a:graphic>
          </wp:inline>
        </w:drawing>
      </w: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sectPr>
          <w:pgSz w:w="16838" w:h="11906" w:orient="landscape"/>
          <w:pgMar w:top="1440" w:right="1080" w:bottom="1440" w:left="108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bookmarkStart w:id="286" w:name="_Toc13912"/>
      <w:r>
        <w:rPr>
          <w:rFonts w:hint="default" w:ascii="Times New Roman" w:hAnsi="Times New Roman" w:cs="Times New Roman"/>
          <w:color w:val="auto"/>
          <w:kern w:val="2"/>
          <w:sz w:val="30"/>
          <w:szCs w:val="20"/>
          <w:highlight w:val="none"/>
          <w:lang w:val="en-US" w:eastAsia="zh-CN" w:bidi="ar-SA"/>
        </w:rPr>
        <w:t>附件</w:t>
      </w:r>
      <w:r>
        <w:rPr>
          <w:rFonts w:hint="eastAsia" w:ascii="Times New Roman" w:hAnsi="Times New Roman" w:cs="Times New Roman"/>
          <w:color w:val="auto"/>
          <w:kern w:val="2"/>
          <w:sz w:val="30"/>
          <w:szCs w:val="20"/>
          <w:highlight w:val="none"/>
          <w:lang w:val="en-US" w:eastAsia="zh-CN" w:bidi="ar-SA"/>
        </w:rPr>
        <w:t>四</w:t>
      </w:r>
      <w:r>
        <w:rPr>
          <w:rFonts w:hint="default" w:ascii="Times New Roman" w:hAnsi="Times New Roman" w:cs="Times New Roman"/>
          <w:color w:val="auto"/>
          <w:kern w:val="2"/>
          <w:sz w:val="30"/>
          <w:szCs w:val="20"/>
          <w:highlight w:val="none"/>
          <w:lang w:val="en-US" w:eastAsia="zh-CN" w:bidi="ar-SA"/>
        </w:rPr>
        <w:t xml:space="preserve"> </w:t>
      </w:r>
      <w:r>
        <w:rPr>
          <w:rFonts w:hint="eastAsia" w:ascii="Times New Roman" w:hAnsi="Times New Roman" w:cs="Times New Roman"/>
          <w:color w:val="auto"/>
          <w:kern w:val="2"/>
          <w:sz w:val="30"/>
          <w:szCs w:val="20"/>
          <w:highlight w:val="none"/>
          <w:lang w:val="en-US" w:eastAsia="zh-CN" w:bidi="ar-SA"/>
        </w:rPr>
        <w:t>风险源</w:t>
      </w:r>
      <w:r>
        <w:rPr>
          <w:rFonts w:hint="default" w:ascii="Times New Roman" w:hAnsi="Times New Roman" w:cs="Times New Roman"/>
          <w:color w:val="auto"/>
          <w:kern w:val="2"/>
          <w:sz w:val="30"/>
          <w:szCs w:val="20"/>
          <w:highlight w:val="none"/>
          <w:lang w:val="en-US" w:eastAsia="zh-CN" w:bidi="ar-SA"/>
        </w:rPr>
        <w:t>分布图</w:t>
      </w:r>
      <w:bookmarkEnd w:id="286"/>
    </w:p>
    <w:p>
      <w:pPr>
        <w:jc w:val="center"/>
      </w:pPr>
      <w:r>
        <w:drawing>
          <wp:inline distT="0" distB="0" distL="114300" distR="114300">
            <wp:extent cx="7123430" cy="5030470"/>
            <wp:effectExtent l="0" t="0" r="1270" b="1778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4"/>
                    <a:stretch>
                      <a:fillRect/>
                    </a:stretch>
                  </pic:blipFill>
                  <pic:spPr>
                    <a:xfrm>
                      <a:off x="0" y="0"/>
                      <a:ext cx="7123430" cy="5030470"/>
                    </a:xfrm>
                    <a:prstGeom prst="rect">
                      <a:avLst/>
                    </a:prstGeom>
                    <a:noFill/>
                    <a:ln w="9525">
                      <a:noFill/>
                    </a:ln>
                  </pic:spPr>
                </pic:pic>
              </a:graphicData>
            </a:graphic>
          </wp:inline>
        </w:drawing>
      </w:r>
    </w:p>
    <w:p>
      <w:pPr>
        <w:pStyle w:val="2"/>
        <w:rPr>
          <w:rFonts w:hint="default" w:ascii="Times New Roman" w:hAnsi="Times New Roman" w:cs="Times New Roman"/>
          <w:color w:val="auto"/>
          <w:kern w:val="2"/>
          <w:sz w:val="30"/>
          <w:szCs w:val="20"/>
          <w:highlight w:val="none"/>
          <w:lang w:val="en-US" w:eastAsia="zh-CN" w:bidi="ar-SA"/>
        </w:rPr>
        <w:sectPr>
          <w:pgSz w:w="16838" w:h="11906" w:orient="landscape"/>
          <w:pgMar w:top="1440" w:right="1080" w:bottom="1440" w:left="108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2"/>
        <w:rPr>
          <w:rFonts w:hint="default" w:ascii="Times New Roman" w:hAnsi="Times New Roman" w:cs="Times New Roman"/>
          <w:color w:val="auto"/>
          <w:kern w:val="2"/>
          <w:sz w:val="30"/>
          <w:highlight w:val="none"/>
          <w:lang w:bidi="ar-SA"/>
        </w:rPr>
      </w:pPr>
      <w:r>
        <w:rPr>
          <w:rFonts w:hint="default" w:ascii="Times New Roman" w:hAnsi="Times New Roman" w:cs="Times New Roman"/>
          <w:color w:val="auto"/>
          <w:kern w:val="2"/>
          <w:sz w:val="30"/>
          <w:szCs w:val="20"/>
          <w:highlight w:val="none"/>
          <w:lang w:val="en-US" w:eastAsia="zh-CN" w:bidi="ar-SA"/>
        </w:rPr>
        <w:t>附件</w:t>
      </w:r>
      <w:r>
        <w:rPr>
          <w:rFonts w:hint="eastAsia" w:ascii="Times New Roman" w:hAnsi="Times New Roman" w:cs="Times New Roman"/>
          <w:color w:val="auto"/>
          <w:kern w:val="2"/>
          <w:sz w:val="30"/>
          <w:szCs w:val="20"/>
          <w:highlight w:val="none"/>
          <w:lang w:val="en-US" w:eastAsia="zh-CN" w:bidi="ar-SA"/>
        </w:rPr>
        <w:t>五</w:t>
      </w:r>
      <w:r>
        <w:rPr>
          <w:rFonts w:hint="default" w:ascii="Times New Roman" w:hAnsi="Times New Roman" w:cs="Times New Roman"/>
          <w:color w:val="auto"/>
          <w:kern w:val="2"/>
          <w:sz w:val="30"/>
          <w:szCs w:val="20"/>
          <w:highlight w:val="none"/>
          <w:lang w:val="en-US" w:eastAsia="zh-CN" w:bidi="ar-SA"/>
        </w:rPr>
        <w:t xml:space="preserve"> </w:t>
      </w:r>
      <w:r>
        <w:rPr>
          <w:rFonts w:hint="default" w:ascii="Times New Roman" w:hAnsi="Times New Roman" w:cs="Times New Roman"/>
          <w:color w:val="auto"/>
          <w:kern w:val="2"/>
          <w:sz w:val="30"/>
          <w:highlight w:val="none"/>
          <w:lang w:bidi="ar-SA"/>
        </w:rPr>
        <w:t>应急救援人员联系方式</w:t>
      </w:r>
    </w:p>
    <w:tbl>
      <w:tblPr>
        <w:tblStyle w:val="19"/>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9"/>
        <w:gridCol w:w="1385"/>
        <w:gridCol w:w="1790"/>
        <w:gridCol w:w="2175"/>
        <w:gridCol w:w="1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b/>
                <w:bCs/>
              </w:rPr>
            </w:pPr>
            <w:r>
              <w:rPr>
                <w:rFonts w:hint="eastAsia" w:eastAsia="仿宋"/>
                <w:b/>
                <w:bCs/>
              </w:rPr>
              <w:t>机构</w:t>
            </w:r>
          </w:p>
        </w:tc>
        <w:tc>
          <w:tcPr>
            <w:tcW w:w="1385" w:type="dxa"/>
            <w:noWrap/>
            <w:vAlign w:val="center"/>
          </w:tcPr>
          <w:p>
            <w:pPr>
              <w:pStyle w:val="26"/>
              <w:topLinePunct/>
              <w:adjustRightInd w:val="0"/>
              <w:snapToGrid w:val="0"/>
              <w:jc w:val="center"/>
              <w:rPr>
                <w:rFonts w:eastAsia="仿宋"/>
                <w:b/>
                <w:bCs/>
              </w:rPr>
            </w:pPr>
            <w:r>
              <w:rPr>
                <w:rFonts w:hint="eastAsia" w:eastAsia="仿宋"/>
                <w:b/>
                <w:bCs/>
              </w:rPr>
              <w:t>姓名</w:t>
            </w:r>
          </w:p>
        </w:tc>
        <w:tc>
          <w:tcPr>
            <w:tcW w:w="1790" w:type="dxa"/>
            <w:noWrap/>
            <w:vAlign w:val="center"/>
          </w:tcPr>
          <w:p>
            <w:pPr>
              <w:pStyle w:val="26"/>
              <w:topLinePunct/>
              <w:adjustRightInd w:val="0"/>
              <w:snapToGrid w:val="0"/>
              <w:jc w:val="center"/>
              <w:rPr>
                <w:rFonts w:eastAsia="仿宋"/>
                <w:b/>
                <w:bCs/>
              </w:rPr>
            </w:pPr>
            <w:r>
              <w:rPr>
                <w:rFonts w:hint="eastAsia" w:eastAsia="仿宋"/>
                <w:b/>
                <w:bCs/>
              </w:rPr>
              <w:t>职责</w:t>
            </w:r>
          </w:p>
        </w:tc>
        <w:tc>
          <w:tcPr>
            <w:tcW w:w="2175" w:type="dxa"/>
            <w:noWrap/>
            <w:vAlign w:val="center"/>
          </w:tcPr>
          <w:p>
            <w:pPr>
              <w:pStyle w:val="26"/>
              <w:topLinePunct/>
              <w:adjustRightInd w:val="0"/>
              <w:snapToGrid w:val="0"/>
              <w:jc w:val="center"/>
              <w:rPr>
                <w:rFonts w:eastAsia="仿宋"/>
                <w:b/>
                <w:bCs/>
              </w:rPr>
            </w:pPr>
            <w:r>
              <w:rPr>
                <w:rFonts w:hint="eastAsia" w:eastAsia="仿宋"/>
                <w:b/>
                <w:bCs/>
              </w:rPr>
              <w:t>联系方式</w:t>
            </w:r>
          </w:p>
        </w:tc>
        <w:tc>
          <w:tcPr>
            <w:tcW w:w="1553" w:type="dxa"/>
            <w:noWrap/>
            <w:vAlign w:val="center"/>
          </w:tcPr>
          <w:p>
            <w:pPr>
              <w:pStyle w:val="26"/>
              <w:topLinePunct/>
              <w:adjustRightInd w:val="0"/>
              <w:snapToGrid w:val="0"/>
              <w:jc w:val="center"/>
              <w:rPr>
                <w:rFonts w:eastAsia="仿宋"/>
                <w:b/>
                <w:bCs/>
              </w:rPr>
            </w:pPr>
            <w:r>
              <w:rPr>
                <w:rFonts w:hint="eastAsia" w:eastAsia="仿宋"/>
                <w:b/>
                <w:bCs/>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26"/>
              <w:topLinePunct/>
              <w:adjustRightInd w:val="0"/>
              <w:snapToGrid w:val="0"/>
              <w:jc w:val="center"/>
              <w:rPr>
                <w:rFonts w:eastAsia="仿宋"/>
              </w:rPr>
            </w:pPr>
            <w:r>
              <w:rPr>
                <w:rFonts w:hint="eastAsia" w:eastAsia="仿宋"/>
              </w:rPr>
              <w:t>应急救援指挥部</w:t>
            </w:r>
          </w:p>
        </w:tc>
        <w:tc>
          <w:tcPr>
            <w:tcW w:w="1385" w:type="dxa"/>
            <w:noWrap/>
            <w:vAlign w:val="center"/>
          </w:tcPr>
          <w:p>
            <w:pPr>
              <w:pStyle w:val="26"/>
              <w:topLinePunct/>
              <w:adjustRightInd w:val="0"/>
              <w:snapToGrid w:val="0"/>
              <w:jc w:val="center"/>
              <w:rPr>
                <w:rFonts w:eastAsia="仿宋"/>
              </w:rPr>
            </w:pPr>
            <w:r>
              <w:rPr>
                <w:rFonts w:hint="eastAsia" w:eastAsia="仿宋"/>
              </w:rPr>
              <w:t>潘建新</w:t>
            </w:r>
          </w:p>
        </w:tc>
        <w:tc>
          <w:tcPr>
            <w:tcW w:w="1790" w:type="dxa"/>
            <w:noWrap/>
            <w:vAlign w:val="center"/>
          </w:tcPr>
          <w:p>
            <w:pPr>
              <w:pStyle w:val="26"/>
              <w:topLinePunct/>
              <w:adjustRightInd w:val="0"/>
              <w:snapToGrid w:val="0"/>
              <w:jc w:val="center"/>
              <w:rPr>
                <w:rFonts w:eastAsia="仿宋"/>
              </w:rPr>
            </w:pPr>
            <w:r>
              <w:rPr>
                <w:rFonts w:hint="eastAsia" w:eastAsia="仿宋"/>
              </w:rPr>
              <w:t>总指挥</w:t>
            </w:r>
          </w:p>
        </w:tc>
        <w:tc>
          <w:tcPr>
            <w:tcW w:w="2175" w:type="dxa"/>
            <w:noWrap/>
            <w:vAlign w:val="center"/>
          </w:tcPr>
          <w:p>
            <w:pPr>
              <w:pStyle w:val="26"/>
              <w:topLinePunct/>
              <w:adjustRightInd w:val="0"/>
              <w:snapToGrid w:val="0"/>
              <w:jc w:val="center"/>
              <w:rPr>
                <w:rFonts w:eastAsia="仿宋"/>
              </w:rPr>
            </w:pPr>
            <w:r>
              <w:rPr>
                <w:rFonts w:hint="eastAsia" w:eastAsia="仿宋"/>
              </w:rPr>
              <w:t>029-85560385</w:t>
            </w:r>
          </w:p>
        </w:tc>
        <w:tc>
          <w:tcPr>
            <w:tcW w:w="1553" w:type="dxa"/>
            <w:noWrap/>
            <w:vAlign w:val="center"/>
          </w:tcPr>
          <w:p>
            <w:pPr>
              <w:pStyle w:val="26"/>
              <w:topLinePunct/>
              <w:adjustRightInd w:val="0"/>
              <w:snapToGrid w:val="0"/>
              <w:jc w:val="center"/>
              <w:rPr>
                <w:rFonts w:eastAsia="仿宋"/>
              </w:rPr>
            </w:pPr>
            <w:r>
              <w:rPr>
                <w:rFonts w:hint="eastAsia" w:eastAsia="仿宋"/>
              </w:rPr>
              <w:t>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eastAsia="仿宋"/>
              </w:rPr>
            </w:pPr>
            <w:r>
              <w:rPr>
                <w:rFonts w:hint="eastAsia" w:eastAsia="仿宋"/>
              </w:rPr>
              <w:t>潘志敏</w:t>
            </w:r>
          </w:p>
        </w:tc>
        <w:tc>
          <w:tcPr>
            <w:tcW w:w="1790" w:type="dxa"/>
            <w:noWrap/>
            <w:vAlign w:val="center"/>
          </w:tcPr>
          <w:p>
            <w:pPr>
              <w:pStyle w:val="26"/>
              <w:topLinePunct/>
              <w:adjustRightInd w:val="0"/>
              <w:snapToGrid w:val="0"/>
              <w:jc w:val="center"/>
              <w:rPr>
                <w:rFonts w:eastAsia="仿宋"/>
              </w:rPr>
            </w:pPr>
            <w:r>
              <w:rPr>
                <w:rFonts w:hint="eastAsia" w:eastAsia="仿宋"/>
              </w:rPr>
              <w:t>副总指挥</w:t>
            </w:r>
          </w:p>
        </w:tc>
        <w:tc>
          <w:tcPr>
            <w:tcW w:w="2175" w:type="dxa"/>
            <w:noWrap/>
            <w:vAlign w:val="center"/>
          </w:tcPr>
          <w:p>
            <w:pPr>
              <w:pStyle w:val="26"/>
              <w:topLinePunct/>
              <w:adjustRightInd w:val="0"/>
              <w:snapToGrid w:val="0"/>
              <w:jc w:val="center"/>
              <w:rPr>
                <w:rFonts w:eastAsia="仿宋"/>
              </w:rPr>
            </w:pPr>
            <w:r>
              <w:rPr>
                <w:rFonts w:hint="eastAsia" w:eastAsia="仿宋"/>
              </w:rPr>
              <w:t>13609215735</w:t>
            </w:r>
          </w:p>
        </w:tc>
        <w:tc>
          <w:tcPr>
            <w:tcW w:w="1553" w:type="dxa"/>
            <w:noWrap/>
            <w:vAlign w:val="center"/>
          </w:tcPr>
          <w:p>
            <w:pPr>
              <w:pStyle w:val="26"/>
              <w:topLinePunct/>
              <w:adjustRightInd w:val="0"/>
              <w:snapToGrid w:val="0"/>
              <w:jc w:val="center"/>
              <w:rPr>
                <w:rFonts w:eastAsia="仿宋"/>
              </w:rPr>
            </w:pPr>
            <w:r>
              <w:rPr>
                <w:rFonts w:hint="eastAsia" w:eastAsia="仿宋"/>
              </w:rPr>
              <w:t>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应急办公室</w:t>
            </w:r>
          </w:p>
        </w:tc>
        <w:tc>
          <w:tcPr>
            <w:tcW w:w="1385" w:type="dxa"/>
            <w:noWrap/>
            <w:vAlign w:val="center"/>
          </w:tcPr>
          <w:p>
            <w:pPr>
              <w:pStyle w:val="26"/>
              <w:topLinePunct/>
              <w:adjustRightInd w:val="0"/>
              <w:snapToGrid w:val="0"/>
              <w:jc w:val="center"/>
              <w:rPr>
                <w:rFonts w:eastAsia="仿宋"/>
              </w:rPr>
            </w:pPr>
            <w:r>
              <w:rPr>
                <w:rFonts w:hint="eastAsia" w:eastAsia="仿宋"/>
              </w:rPr>
              <w:t>刘纪</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15336107281</w:t>
            </w:r>
          </w:p>
        </w:tc>
        <w:tc>
          <w:tcPr>
            <w:tcW w:w="1553" w:type="dxa"/>
            <w:noWrap/>
            <w:vAlign w:val="center"/>
          </w:tcPr>
          <w:p>
            <w:pPr>
              <w:pStyle w:val="26"/>
              <w:topLinePunct/>
              <w:adjustRightInd w:val="0"/>
              <w:snapToGrid w:val="0"/>
              <w:jc w:val="center"/>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26"/>
              <w:topLinePunct/>
              <w:adjustRightInd w:val="0"/>
              <w:snapToGrid w:val="0"/>
              <w:jc w:val="center"/>
              <w:rPr>
                <w:rFonts w:eastAsia="仿宋"/>
              </w:rPr>
            </w:pPr>
            <w:r>
              <w:rPr>
                <w:rFonts w:hint="eastAsia" w:eastAsia="仿宋"/>
              </w:rPr>
              <w:t>事故救援组</w:t>
            </w:r>
          </w:p>
        </w:tc>
        <w:tc>
          <w:tcPr>
            <w:tcW w:w="1385" w:type="dxa"/>
            <w:noWrap/>
            <w:vAlign w:val="center"/>
          </w:tcPr>
          <w:p>
            <w:pPr>
              <w:pStyle w:val="26"/>
              <w:topLinePunct/>
              <w:adjustRightInd w:val="0"/>
              <w:snapToGrid w:val="0"/>
              <w:jc w:val="center"/>
              <w:rPr>
                <w:rFonts w:eastAsia="仿宋"/>
              </w:rPr>
            </w:pPr>
            <w:r>
              <w:rPr>
                <w:rFonts w:hint="eastAsia" w:eastAsia="仿宋"/>
              </w:rPr>
              <w:t>肖东亮</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18629553287</w:t>
            </w:r>
          </w:p>
        </w:tc>
        <w:tc>
          <w:tcPr>
            <w:tcW w:w="1553" w:type="dxa"/>
            <w:noWrap/>
            <w:vAlign w:val="center"/>
          </w:tcPr>
          <w:p>
            <w:pPr>
              <w:pStyle w:val="26"/>
              <w:topLinePunct/>
              <w:adjustRightInd w:val="0"/>
              <w:snapToGrid w:val="0"/>
              <w:jc w:val="center"/>
              <w:rPr>
                <w:rFonts w:eastAsia="仿宋"/>
              </w:rPr>
            </w:pPr>
            <w:r>
              <w:rPr>
                <w:rFonts w:hint="eastAsia" w:eastAsia="仿宋"/>
              </w:rPr>
              <w:t>车间主任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李晓铁</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18291078252</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王群</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18082599745</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姜永</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15332298275</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26"/>
              <w:topLinePunct/>
              <w:adjustRightInd w:val="0"/>
              <w:snapToGrid w:val="0"/>
              <w:jc w:val="center"/>
              <w:rPr>
                <w:rFonts w:eastAsia="仿宋"/>
              </w:rPr>
            </w:pP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豆旭林</w:t>
            </w:r>
          </w:p>
        </w:tc>
        <w:tc>
          <w:tcPr>
            <w:tcW w:w="1790" w:type="dxa"/>
            <w:noWrap/>
            <w:vAlign w:val="center"/>
          </w:tcPr>
          <w:p>
            <w:pPr>
              <w:pStyle w:val="26"/>
              <w:topLinePunct/>
              <w:adjustRightInd w:val="0"/>
              <w:snapToGrid w:val="0"/>
              <w:jc w:val="center"/>
              <w:rPr>
                <w:rFonts w:eastAsia="仿宋"/>
              </w:rPr>
            </w:pPr>
            <w:r>
              <w:rPr>
                <w:rFonts w:hint="eastAsia" w:eastAsia="仿宋"/>
              </w:rPr>
              <w:t>组员</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17730661940</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通讯联络组</w:t>
            </w:r>
          </w:p>
        </w:tc>
        <w:tc>
          <w:tcPr>
            <w:tcW w:w="1385" w:type="dxa"/>
            <w:noWrap/>
            <w:vAlign w:val="center"/>
          </w:tcPr>
          <w:p>
            <w:pPr>
              <w:pStyle w:val="26"/>
              <w:topLinePunct/>
              <w:adjustRightInd w:val="0"/>
              <w:snapToGrid w:val="0"/>
              <w:jc w:val="center"/>
              <w:rPr>
                <w:rFonts w:eastAsia="仿宋"/>
              </w:rPr>
            </w:pPr>
            <w:r>
              <w:rPr>
                <w:rFonts w:hint="eastAsia" w:eastAsia="仿宋"/>
              </w:rPr>
              <w:t>刘纪</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eastAsia="仿宋"/>
              </w:rPr>
            </w:pPr>
            <w:r>
              <w:rPr>
                <w:rFonts w:hint="eastAsia" w:eastAsia="仿宋"/>
              </w:rPr>
              <w:t>15336107281</w:t>
            </w:r>
          </w:p>
        </w:tc>
        <w:tc>
          <w:tcPr>
            <w:tcW w:w="1553" w:type="dxa"/>
            <w:noWrap/>
            <w:vAlign w:val="center"/>
          </w:tcPr>
          <w:p>
            <w:pPr>
              <w:pStyle w:val="26"/>
              <w:topLinePunct/>
              <w:adjustRightInd w:val="0"/>
              <w:snapToGrid w:val="0"/>
              <w:jc w:val="center"/>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警戒疏散组</w:t>
            </w: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rPr>
              <w:t>刘</w:t>
            </w:r>
            <w:r>
              <w:rPr>
                <w:rFonts w:hint="eastAsia" w:eastAsia="仿宋"/>
                <w:lang w:eastAsia="zh-CN"/>
              </w:rPr>
              <w:t>二继</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18082249757</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26"/>
              <w:topLinePunct/>
              <w:adjustRightInd w:val="0"/>
              <w:snapToGrid w:val="0"/>
              <w:jc w:val="center"/>
              <w:rPr>
                <w:rFonts w:eastAsia="仿宋"/>
              </w:rPr>
            </w:pPr>
            <w:r>
              <w:rPr>
                <w:rFonts w:hint="eastAsia" w:eastAsia="仿宋"/>
              </w:rPr>
              <w:t>物资供应组</w:t>
            </w:r>
          </w:p>
        </w:tc>
        <w:tc>
          <w:tcPr>
            <w:tcW w:w="1385"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李保忠</w:t>
            </w:r>
          </w:p>
        </w:tc>
        <w:tc>
          <w:tcPr>
            <w:tcW w:w="1790" w:type="dxa"/>
            <w:noWrap/>
            <w:vAlign w:val="center"/>
          </w:tcPr>
          <w:p>
            <w:pPr>
              <w:pStyle w:val="26"/>
              <w:topLinePunct/>
              <w:adjustRightInd w:val="0"/>
              <w:snapToGrid w:val="0"/>
              <w:jc w:val="center"/>
              <w:rPr>
                <w:rFonts w:eastAsia="仿宋"/>
              </w:rPr>
            </w:pPr>
            <w:r>
              <w:rPr>
                <w:rFonts w:hint="eastAsia" w:eastAsia="仿宋"/>
              </w:rPr>
              <w:t>组长</w:t>
            </w:r>
          </w:p>
        </w:tc>
        <w:tc>
          <w:tcPr>
            <w:tcW w:w="2175" w:type="dxa"/>
            <w:noWrap/>
            <w:vAlign w:val="center"/>
          </w:tcPr>
          <w:p>
            <w:pPr>
              <w:pStyle w:val="26"/>
              <w:topLinePunct/>
              <w:adjustRightInd w:val="0"/>
              <w:snapToGrid w:val="0"/>
              <w:jc w:val="center"/>
              <w:rPr>
                <w:rFonts w:hint="eastAsia" w:eastAsia="仿宋"/>
                <w:lang w:val="en-US" w:eastAsia="zh-CN"/>
              </w:rPr>
            </w:pPr>
            <w:r>
              <w:rPr>
                <w:rFonts w:hint="eastAsia" w:eastAsia="仿宋"/>
                <w:lang w:val="en-US" w:eastAsia="zh-CN"/>
              </w:rPr>
              <w:t>15686910840</w:t>
            </w:r>
          </w:p>
        </w:tc>
        <w:tc>
          <w:tcPr>
            <w:tcW w:w="1553" w:type="dxa"/>
            <w:noWrap/>
            <w:vAlign w:val="center"/>
          </w:tcPr>
          <w:p>
            <w:pPr>
              <w:pStyle w:val="26"/>
              <w:topLinePunct/>
              <w:adjustRightInd w:val="0"/>
              <w:snapToGrid w:val="0"/>
              <w:jc w:val="center"/>
              <w:rPr>
                <w:rFonts w:hint="eastAsia" w:eastAsia="仿宋"/>
                <w:lang w:eastAsia="zh-CN"/>
              </w:rPr>
            </w:pPr>
            <w:r>
              <w:rPr>
                <w:rFonts w:hint="eastAsia" w:eastAsia="仿宋"/>
                <w:lang w:eastAsia="zh-CN"/>
              </w:rPr>
              <w:t>员工</w:t>
            </w:r>
          </w:p>
        </w:tc>
      </w:tr>
    </w:tbl>
    <w:p>
      <w:pPr>
        <w:rPr>
          <w:rFonts w:hint="default"/>
        </w:rPr>
      </w:pPr>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bidi="ar-SA"/>
        </w:rPr>
      </w:pPr>
      <w:bookmarkStart w:id="287" w:name="_Toc11592"/>
      <w:bookmarkStart w:id="288" w:name="_Toc25103"/>
      <w:bookmarkStart w:id="289" w:name="_Toc15160"/>
      <w:bookmarkStart w:id="290" w:name="_Toc25716"/>
      <w:bookmarkStart w:id="291" w:name="_Toc27334"/>
      <w:bookmarkStart w:id="292" w:name="_Toc569"/>
      <w:bookmarkStart w:id="293" w:name="_Toc26894"/>
      <w:bookmarkStart w:id="294" w:name="_Toc23122"/>
      <w:bookmarkStart w:id="295" w:name="_Toc22395"/>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bidi="ar-SA"/>
        </w:rPr>
      </w:pPr>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bidi="ar-SA"/>
        </w:rPr>
      </w:pPr>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bidi="ar-SA"/>
        </w:rPr>
      </w:pPr>
    </w:p>
    <w:p>
      <w:pPr>
        <w:rPr>
          <w:rFonts w:hint="default" w:ascii="Times New Roman" w:hAnsi="Times New Roman" w:cs="Times New Roman"/>
          <w:color w:val="auto"/>
          <w:kern w:val="2"/>
          <w:sz w:val="30"/>
          <w:highlight w:val="none"/>
          <w:lang w:bidi="ar-SA"/>
        </w:rPr>
      </w:pPr>
    </w:p>
    <w:p>
      <w:pPr>
        <w:pStyle w:val="2"/>
        <w:rPr>
          <w:rFonts w:hint="default" w:ascii="Times New Roman" w:hAnsi="Times New Roman" w:cs="Times New Roman"/>
          <w:color w:val="auto"/>
          <w:kern w:val="2"/>
          <w:sz w:val="30"/>
          <w:highlight w:val="none"/>
          <w:lang w:bidi="ar-SA"/>
        </w:rPr>
      </w:pPr>
    </w:p>
    <w:p>
      <w:pPr>
        <w:rPr>
          <w:rFonts w:hint="default" w:ascii="Times New Roman" w:hAnsi="Times New Roman" w:cs="Times New Roman"/>
          <w:color w:val="auto"/>
          <w:kern w:val="2"/>
          <w:sz w:val="30"/>
          <w:highlight w:val="none"/>
          <w:lang w:bidi="ar-SA"/>
        </w:rPr>
      </w:pPr>
    </w:p>
    <w:p>
      <w:pPr>
        <w:pStyle w:val="2"/>
        <w:rPr>
          <w:rFonts w:hint="default" w:ascii="Times New Roman" w:hAnsi="Times New Roman" w:cs="Times New Roman"/>
          <w:color w:val="auto"/>
          <w:kern w:val="2"/>
          <w:sz w:val="30"/>
          <w:highlight w:val="none"/>
          <w:lang w:bidi="ar-SA"/>
        </w:rPr>
      </w:pPr>
    </w:p>
    <w:p>
      <w:pPr>
        <w:rPr>
          <w:rFonts w:hint="default" w:ascii="Times New Roman" w:hAnsi="Times New Roman" w:cs="Times New Roman"/>
          <w:color w:val="auto"/>
          <w:kern w:val="2"/>
          <w:sz w:val="30"/>
          <w:highlight w:val="none"/>
          <w:lang w:bidi="ar-SA"/>
        </w:rPr>
      </w:pPr>
    </w:p>
    <w:p>
      <w:pPr>
        <w:pStyle w:val="2"/>
        <w:rPr>
          <w:rFonts w:hint="default" w:ascii="Times New Roman" w:hAnsi="Times New Roman" w:cs="Times New Roman"/>
          <w:color w:val="auto"/>
          <w:kern w:val="2"/>
          <w:sz w:val="30"/>
          <w:highlight w:val="none"/>
          <w:lang w:bidi="ar-SA"/>
        </w:rPr>
      </w:pPr>
    </w:p>
    <w:p>
      <w:pPr>
        <w:rPr>
          <w:rFonts w:hint="default"/>
        </w:rPr>
      </w:pPr>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val="en-US" w:eastAsia="zh-CN" w:bidi="ar-SA"/>
        </w:rPr>
      </w:pPr>
      <w:r>
        <w:rPr>
          <w:rFonts w:hint="default" w:ascii="Times New Roman" w:hAnsi="Times New Roman" w:cs="Times New Roman"/>
          <w:color w:val="auto"/>
          <w:kern w:val="2"/>
          <w:sz w:val="30"/>
          <w:highlight w:val="none"/>
          <w:lang w:bidi="ar-SA"/>
        </w:rPr>
        <w:t>附件</w:t>
      </w:r>
      <w:r>
        <w:rPr>
          <w:rFonts w:hint="eastAsia" w:ascii="Times New Roman" w:hAnsi="Times New Roman" w:cs="Times New Roman"/>
          <w:color w:val="auto"/>
          <w:kern w:val="2"/>
          <w:sz w:val="30"/>
          <w:highlight w:val="none"/>
          <w:lang w:val="en-US" w:eastAsia="zh-CN" w:bidi="ar-SA"/>
        </w:rPr>
        <w:t>六</w:t>
      </w:r>
      <w:r>
        <w:rPr>
          <w:rFonts w:hint="default" w:ascii="Times New Roman" w:hAnsi="Times New Roman" w:cs="Times New Roman"/>
          <w:color w:val="auto"/>
          <w:kern w:val="2"/>
          <w:sz w:val="30"/>
          <w:highlight w:val="none"/>
          <w:lang w:val="en-US" w:eastAsia="zh-CN" w:bidi="ar-SA"/>
        </w:rPr>
        <w:t xml:space="preserve"> </w:t>
      </w:r>
      <w:r>
        <w:rPr>
          <w:rFonts w:hint="default" w:ascii="Times New Roman" w:hAnsi="Times New Roman" w:cs="Times New Roman"/>
          <w:color w:val="auto"/>
          <w:kern w:val="2"/>
          <w:sz w:val="30"/>
          <w:highlight w:val="none"/>
          <w:lang w:bidi="ar-SA"/>
        </w:rPr>
        <w:t>外部救援单位联络</w:t>
      </w:r>
      <w:r>
        <w:rPr>
          <w:rFonts w:hint="default" w:ascii="Times New Roman" w:hAnsi="Times New Roman" w:cs="Times New Roman"/>
          <w:color w:val="auto"/>
          <w:kern w:val="2"/>
          <w:sz w:val="30"/>
          <w:highlight w:val="none"/>
          <w:lang w:eastAsia="zh-CN" w:bidi="ar-SA"/>
        </w:rPr>
        <w:t>方式</w:t>
      </w:r>
      <w:bookmarkEnd w:id="287"/>
      <w:bookmarkEnd w:id="288"/>
      <w:bookmarkEnd w:id="289"/>
      <w:bookmarkEnd w:id="290"/>
      <w:bookmarkEnd w:id="291"/>
      <w:bookmarkEnd w:id="292"/>
      <w:bookmarkEnd w:id="293"/>
      <w:bookmarkEnd w:id="294"/>
      <w:bookmarkEnd w:id="295"/>
    </w:p>
    <w:tbl>
      <w:tblPr>
        <w:tblStyle w:val="19"/>
        <w:tblpPr w:leftFromText="180" w:rightFromText="180" w:vertAnchor="text" w:horzAnchor="page" w:tblpX="1914" w:tblpY="10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5"/>
        <w:gridCol w:w="4235"/>
        <w:gridCol w:w="31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1165" w:type="dxa"/>
            <w:tcBorders>
              <w:top w:val="single" w:color="auto" w:sz="12" w:space="0"/>
              <w:left w:val="single" w:color="auto" w:sz="12" w:space="0"/>
              <w:bottom w:val="single" w:color="auto" w:sz="4" w:space="0"/>
              <w:right w:val="single" w:color="auto" w:sz="4"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序号</w:t>
            </w:r>
          </w:p>
        </w:tc>
        <w:tc>
          <w:tcPr>
            <w:tcW w:w="4235" w:type="dxa"/>
            <w:tcBorders>
              <w:top w:val="single" w:color="auto" w:sz="12" w:space="0"/>
              <w:left w:val="single" w:color="auto" w:sz="4" w:space="0"/>
              <w:bottom w:val="single" w:color="auto" w:sz="4" w:space="0"/>
              <w:right w:val="single" w:color="auto" w:sz="4"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部门</w:t>
            </w:r>
          </w:p>
        </w:tc>
        <w:tc>
          <w:tcPr>
            <w:tcW w:w="3122" w:type="dxa"/>
            <w:tcBorders>
              <w:top w:val="single" w:color="auto" w:sz="12" w:space="0"/>
              <w:left w:val="single" w:color="auto" w:sz="4" w:space="0"/>
              <w:bottom w:val="single" w:color="auto" w:sz="4" w:space="0"/>
              <w:right w:val="single" w:color="auto" w:sz="12" w:space="0"/>
            </w:tcBorders>
            <w:vAlign w:val="center"/>
          </w:tcPr>
          <w:p>
            <w:pPr>
              <w:pStyle w:val="26"/>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值班电话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auto"/>
              </w:rPr>
            </w:pPr>
            <w:r>
              <w:rPr>
                <w:rFonts w:eastAsia="仿宋"/>
              </w:rPr>
              <w:t>1</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应急救援指挥中心24小时值班</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hint="eastAsia" w:ascii="Times New Roman" w:hAnsi="Times New Roman"/>
                <w:bCs/>
                <w:iCs/>
                <w:sz w:val="24"/>
              </w:rPr>
              <w:t>029-33126499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auto"/>
              </w:rPr>
            </w:pPr>
            <w:r>
              <w:rPr>
                <w:rFonts w:eastAsia="仿宋"/>
              </w:rPr>
              <w:t>2</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西咸新区秦汉新城派出所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029-33185289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auto"/>
              </w:rPr>
            </w:pPr>
            <w:r>
              <w:rPr>
                <w:rFonts w:eastAsia="仿宋"/>
              </w:rPr>
              <w:t>3</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lang w:val="en-US" w:eastAsia="zh-CN"/>
              </w:rPr>
            </w:pPr>
            <w:r>
              <w:rPr>
                <w:rFonts w:ascii="Times New Roman" w:hAnsi="Times New Roman"/>
                <w:bCs/>
                <w:iCs/>
                <w:sz w:val="24"/>
              </w:rPr>
              <w:t>西咸新区秦汉新城安监局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lang w:val="en-US" w:eastAsia="zh-CN"/>
              </w:rPr>
            </w:pPr>
            <w:r>
              <w:rPr>
                <w:rFonts w:ascii="Times New Roman" w:hAnsi="Times New Roman"/>
                <w:bCs/>
                <w:iCs/>
                <w:sz w:val="24"/>
              </w:rPr>
              <w:t>029-68522238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auto"/>
              </w:rPr>
            </w:pPr>
            <w:r>
              <w:rPr>
                <w:rFonts w:eastAsia="仿宋"/>
              </w:rPr>
              <w:t>4</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lang w:val="en-US" w:eastAsia="zh-CN"/>
              </w:rPr>
            </w:pPr>
            <w:r>
              <w:rPr>
                <w:rFonts w:ascii="Times New Roman" w:hAnsi="Times New Roman"/>
                <w:bCs/>
                <w:iCs/>
                <w:sz w:val="24"/>
              </w:rPr>
              <w:t>西咸新区秦汉新城消防中队</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029-33185313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default" w:ascii="Times New Roman" w:hAnsi="Times New Roman" w:eastAsia="仿宋" w:cs="Times New Roman"/>
                <w:color w:val="auto"/>
              </w:rPr>
            </w:pPr>
            <w:r>
              <w:rPr>
                <w:rFonts w:eastAsia="仿宋"/>
              </w:rPr>
              <w:t>5</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西咸新区秦汉新城环保局</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029-33185270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ascii="Times New Roman" w:hAnsi="Times New Roman" w:eastAsia="仿宋" w:cs="Times New Roman"/>
                <w:color w:val="auto"/>
                <w:lang w:val="en-US" w:eastAsia="zh-CN"/>
              </w:rPr>
            </w:pPr>
            <w:r>
              <w:rPr>
                <w:rFonts w:hint="eastAsia" w:eastAsia="仿宋"/>
              </w:rPr>
              <w:t>6</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咸阳市中心医院</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029-33288692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ascii="Times New Roman" w:hAnsi="Times New Roman" w:eastAsia="仿宋" w:cs="Times New Roman"/>
                <w:color w:val="auto"/>
                <w:lang w:val="en-US" w:eastAsia="zh-CN"/>
              </w:rPr>
            </w:pPr>
            <w:r>
              <w:rPr>
                <w:rFonts w:hint="eastAsia" w:eastAsia="仿宋"/>
              </w:rPr>
              <w:t>7</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陕西省安监局应急救援处</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color w:val="auto"/>
              </w:rPr>
            </w:pPr>
            <w:r>
              <w:rPr>
                <w:rFonts w:ascii="Times New Roman" w:hAnsi="Times New Roman"/>
                <w:bCs/>
                <w:iCs/>
                <w:sz w:val="24"/>
              </w:rPr>
              <w:t>029-87291072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8</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eastAsia="仿宋" w:cs="Times New Roman"/>
                <w:color w:val="auto"/>
                <w:lang w:eastAsia="zh-CN"/>
              </w:rPr>
            </w:pPr>
            <w:r>
              <w:rPr>
                <w:rFonts w:ascii="Times New Roman" w:hAnsi="Times New Roman"/>
                <w:bCs/>
                <w:iCs/>
                <w:sz w:val="24"/>
              </w:rPr>
              <w:t>陕西省环保厅应急办公室</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ascii="Times New Roman" w:hAnsi="Times New Roman"/>
                <w:bCs/>
                <w:iCs/>
                <w:sz w:val="24"/>
              </w:rPr>
            </w:pPr>
            <w:r>
              <w:rPr>
                <w:rFonts w:ascii="Times New Roman" w:hAnsi="Times New Roman"/>
                <w:bCs/>
                <w:iCs/>
                <w:sz w:val="24"/>
              </w:rPr>
              <w:t>029-85429265</w:t>
            </w:r>
          </w:p>
          <w:p>
            <w:pPr>
              <w:spacing w:line="240" w:lineRule="auto"/>
              <w:jc w:val="center"/>
              <w:rPr>
                <w:rFonts w:hint="default" w:ascii="Times New Roman" w:hAnsi="Times New Roman" w:eastAsia="仿宋" w:cs="Times New Roman"/>
                <w:color w:val="auto"/>
              </w:rPr>
            </w:pPr>
            <w:r>
              <w:rPr>
                <w:rFonts w:ascii="Times New Roman" w:hAnsi="Times New Roman"/>
                <w:bCs/>
                <w:iCs/>
                <w:sz w:val="24"/>
              </w:rPr>
              <w:t>029-85429257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9</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Times New Roman" w:hAnsi="Times New Roman" w:eastAsia="仿宋" w:cs="Times New Roman"/>
                <w:bCs/>
                <w:iCs/>
                <w:color w:val="auto"/>
                <w:sz w:val="24"/>
                <w:szCs w:val="24"/>
                <w:highlight w:val="none"/>
                <w:lang w:eastAsia="zh-CN"/>
              </w:rPr>
            </w:pPr>
            <w:r>
              <w:rPr>
                <w:rFonts w:ascii="Times New Roman" w:hAnsi="Times New Roman"/>
                <w:bCs/>
                <w:iCs/>
                <w:sz w:val="24"/>
              </w:rPr>
              <w:t>西安市环保局应急办</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bCs/>
                <w:iCs/>
                <w:color w:val="auto"/>
                <w:sz w:val="24"/>
                <w:szCs w:val="24"/>
                <w:highlight w:val="none"/>
                <w:lang w:eastAsia="zh-CN"/>
              </w:rPr>
            </w:pPr>
            <w:r>
              <w:rPr>
                <w:rFonts w:ascii="Times New Roman" w:hAnsi="Times New Roman"/>
                <w:bCs/>
                <w:iCs/>
                <w:sz w:val="24"/>
              </w:rPr>
              <w:t>12369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10</w:t>
            </w:r>
          </w:p>
        </w:tc>
        <w:tc>
          <w:tcPr>
            <w:tcW w:w="423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Times New Roman" w:hAnsi="Times New Roman" w:eastAsia="仿宋" w:cs="Times New Roman"/>
                <w:bCs/>
                <w:iCs/>
                <w:color w:val="auto"/>
                <w:sz w:val="24"/>
                <w:szCs w:val="24"/>
                <w:highlight w:val="none"/>
                <w:lang w:eastAsia="zh-CN"/>
              </w:rPr>
            </w:pPr>
            <w:r>
              <w:rPr>
                <w:rFonts w:hint="eastAsia" w:ascii="Times New Roman" w:hAnsi="Times New Roman"/>
                <w:bCs/>
                <w:iCs/>
                <w:sz w:val="24"/>
              </w:rPr>
              <w:t>双照街道办事处</w:t>
            </w:r>
          </w:p>
        </w:tc>
        <w:tc>
          <w:tcPr>
            <w:tcW w:w="3122" w:type="dxa"/>
            <w:tcBorders>
              <w:top w:val="single" w:color="auto" w:sz="4" w:space="0"/>
              <w:left w:val="single" w:color="auto" w:sz="4" w:space="0"/>
              <w:bottom w:val="single" w:color="auto" w:sz="4" w:space="0"/>
              <w:right w:val="single" w:color="auto" w:sz="12" w:space="0"/>
            </w:tcBorders>
            <w:vAlign w:val="center"/>
          </w:tcPr>
          <w:p>
            <w:pPr>
              <w:spacing w:line="240" w:lineRule="auto"/>
              <w:jc w:val="center"/>
              <w:rPr>
                <w:rFonts w:hint="default" w:ascii="Times New Roman" w:hAnsi="Times New Roman" w:eastAsia="仿宋" w:cs="Times New Roman"/>
                <w:bCs/>
                <w:iCs/>
                <w:color w:val="auto"/>
                <w:sz w:val="24"/>
                <w:szCs w:val="24"/>
                <w:highlight w:val="none"/>
                <w:lang w:eastAsia="zh-CN"/>
              </w:rPr>
            </w:pPr>
            <w:r>
              <w:rPr>
                <w:rFonts w:hint="eastAsia" w:ascii="Times New Roman" w:hAnsi="Times New Roman"/>
                <w:bCs/>
                <w:iCs/>
                <w:sz w:val="24"/>
              </w:rPr>
              <w:t>029-33115283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11</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default"/>
                <w:color w:val="auto"/>
                <w:sz w:val="24"/>
                <w:szCs w:val="24"/>
              </w:rPr>
              <w:t>大王中心小学</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auto"/>
                <w:sz w:val="24"/>
                <w:szCs w:val="24"/>
                <w:highlight w:val="none"/>
                <w:lang w:eastAsia="zh-CN"/>
              </w:rPr>
            </w:pPr>
            <w:r>
              <w:rPr>
                <w:rFonts w:hint="eastAsia" w:ascii="Times New Roman" w:hAnsi="Times New Roman" w:eastAsia="仿宋" w:cs="Times New Roman"/>
                <w:bCs/>
                <w:iCs/>
                <w:sz w:val="24"/>
                <w:szCs w:val="24"/>
                <w:highlight w:val="none"/>
                <w:lang w:val="en-US" w:eastAsia="zh-CN"/>
              </w:rPr>
              <w:t>029-33120662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12</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eastAsia" w:ascii="仿宋" w:hAnsi="仿宋" w:cs="仿宋"/>
                <w:color w:val="auto"/>
                <w:sz w:val="24"/>
                <w:szCs w:val="24"/>
                <w:vertAlign w:val="baseline"/>
                <w:lang w:eastAsia="zh-CN"/>
              </w:rPr>
              <w:t>平陵乡大王村</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auto"/>
                <w:sz w:val="24"/>
                <w:szCs w:val="24"/>
                <w:highlight w:val="none"/>
                <w:lang w:eastAsia="zh-CN"/>
              </w:rPr>
            </w:pPr>
            <w:r>
              <w:rPr>
                <w:rFonts w:hint="eastAsia" w:ascii="Times New Roman" w:hAnsi="Times New Roman" w:eastAsia="仿宋" w:cs="Times New Roman"/>
                <w:bCs/>
                <w:iCs/>
                <w:sz w:val="24"/>
                <w:szCs w:val="24"/>
                <w:highlight w:val="none"/>
                <w:lang w:val="en-US" w:eastAsia="zh-CN"/>
              </w:rPr>
              <w:t>029-33736790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26"/>
              <w:topLinePunct/>
              <w:spacing w:before="15"/>
              <w:jc w:val="center"/>
              <w:rPr>
                <w:rFonts w:hint="eastAsia" w:eastAsia="仿宋" w:cs="Times New Roman"/>
                <w:color w:val="auto"/>
                <w:lang w:val="en-US" w:eastAsia="zh-CN"/>
              </w:rPr>
            </w:pPr>
            <w:r>
              <w:rPr>
                <w:rFonts w:hint="eastAsia" w:eastAsia="仿宋"/>
              </w:rPr>
              <w:t>13</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FF0000"/>
                <w:sz w:val="24"/>
                <w:szCs w:val="24"/>
                <w:highlight w:val="none"/>
                <w:lang w:eastAsia="zh-CN"/>
              </w:rPr>
            </w:pPr>
            <w:r>
              <w:rPr>
                <w:rFonts w:hint="eastAsia" w:ascii="仿宋" w:hAnsi="仿宋" w:cs="仿宋"/>
                <w:color w:val="auto"/>
                <w:sz w:val="24"/>
                <w:szCs w:val="24"/>
                <w:vertAlign w:val="baseline"/>
                <w:lang w:eastAsia="zh-CN"/>
              </w:rPr>
              <w:t>平陵中心卫生院</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auto"/>
                <w:sz w:val="24"/>
                <w:szCs w:val="24"/>
                <w:highlight w:val="none"/>
                <w:lang w:eastAsia="zh-CN"/>
              </w:rPr>
            </w:pPr>
            <w:r>
              <w:rPr>
                <w:rFonts w:hint="eastAsia" w:ascii="Times New Roman" w:hAnsi="Times New Roman" w:eastAsia="仿宋" w:cs="Times New Roman"/>
                <w:bCs/>
                <w:iCs/>
                <w:sz w:val="24"/>
                <w:szCs w:val="24"/>
                <w:highlight w:val="none"/>
                <w:lang w:val="en-US" w:eastAsia="zh-CN"/>
              </w:rPr>
              <w:t>029-33113483</w:t>
            </w:r>
          </w:p>
        </w:tc>
      </w:tr>
    </w:tbl>
    <w:p>
      <w:pPr>
        <w:pStyle w:val="2"/>
        <w:keepNext w:val="0"/>
        <w:keepLines w:val="0"/>
        <w:suppressLineNumbers w:val="0"/>
        <w:autoSpaceDE w:val="0"/>
        <w:autoSpaceDN w:val="0"/>
        <w:spacing w:before="0" w:beforeLines="-2147483648" w:after="0" w:afterLines="-2147483648"/>
        <w:ind w:left="0" w:right="0"/>
        <w:jc w:val="left"/>
        <w:rPr>
          <w:rFonts w:hint="default" w:ascii="Times New Roman" w:hAnsi="Times New Roman" w:cs="Times New Roman"/>
          <w:color w:val="auto"/>
          <w:kern w:val="2"/>
          <w:sz w:val="30"/>
          <w:szCs w:val="20"/>
          <w:highlight w:val="none"/>
          <w:lang w:val="en-US" w:eastAsia="zh-CN" w:bidi="ar-SA"/>
        </w:rPr>
      </w:pPr>
    </w:p>
    <w:p>
      <w:pPr>
        <w:rPr>
          <w:rFonts w:hint="default" w:ascii="Times New Roman" w:hAnsi="Times New Roman" w:cs="Times New Roman"/>
          <w:color w:val="auto"/>
          <w:kern w:val="2"/>
          <w:sz w:val="30"/>
          <w:szCs w:val="20"/>
          <w:highlight w:val="none"/>
          <w:lang w:val="en-US" w:eastAsia="zh-CN" w:bidi="ar-SA"/>
        </w:rPr>
      </w:pPr>
    </w:p>
    <w:p>
      <w:pPr>
        <w:pStyle w:val="2"/>
        <w:rPr>
          <w:rFonts w:hint="default" w:ascii="Times New Roman" w:hAnsi="Times New Roman" w:cs="Times New Roman"/>
          <w:color w:val="auto"/>
          <w:kern w:val="2"/>
          <w:sz w:val="30"/>
          <w:szCs w:val="20"/>
          <w:highlight w:val="none"/>
          <w:lang w:val="en-US" w:eastAsia="zh-CN" w:bidi="ar-SA"/>
        </w:rPr>
      </w:pPr>
    </w:p>
    <w:p>
      <w:pPr>
        <w:rPr>
          <w:rFonts w:hint="default" w:ascii="Times New Roman" w:hAnsi="Times New Roman" w:cs="Times New Roman"/>
          <w:color w:val="auto"/>
          <w:kern w:val="2"/>
          <w:sz w:val="30"/>
          <w:szCs w:val="20"/>
          <w:highlight w:val="none"/>
          <w:lang w:val="en-US" w:eastAsia="zh-CN" w:bidi="ar-SA"/>
        </w:rPr>
      </w:pPr>
    </w:p>
    <w:p>
      <w:pPr>
        <w:pStyle w:val="2"/>
        <w:rPr>
          <w:rFonts w:hint="default" w:ascii="Times New Roman" w:hAnsi="Times New Roman" w:cs="Times New Roman"/>
          <w:color w:val="auto"/>
          <w:kern w:val="2"/>
          <w:sz w:val="30"/>
          <w:szCs w:val="20"/>
          <w:highlight w:val="none"/>
          <w:lang w:val="en-US" w:eastAsia="zh-CN" w:bidi="ar-SA"/>
        </w:rPr>
      </w:pPr>
    </w:p>
    <w:p>
      <w:pPr>
        <w:rPr>
          <w:rFonts w:hint="default" w:ascii="Times New Roman" w:hAnsi="Times New Roman" w:cs="Times New Roman"/>
          <w:color w:val="auto"/>
          <w:kern w:val="2"/>
          <w:sz w:val="30"/>
          <w:szCs w:val="20"/>
          <w:highlight w:val="none"/>
          <w:lang w:val="en-US" w:eastAsia="zh-CN" w:bidi="ar-SA"/>
        </w:rPr>
      </w:pPr>
    </w:p>
    <w:p>
      <w:pPr>
        <w:pStyle w:val="2"/>
        <w:rPr>
          <w:rFonts w:hint="default" w:ascii="Times New Roman" w:hAnsi="Times New Roman" w:cs="Times New Roman"/>
          <w:color w:val="auto"/>
          <w:kern w:val="2"/>
          <w:sz w:val="30"/>
          <w:szCs w:val="20"/>
          <w:highlight w:val="none"/>
          <w:lang w:val="en-US" w:eastAsia="zh-CN" w:bidi="ar-SA"/>
        </w:rPr>
      </w:pPr>
    </w:p>
    <w:p>
      <w:pPr>
        <w:rPr>
          <w:rFonts w:hint="default" w:ascii="Times New Roman" w:hAnsi="Times New Roman" w:cs="Times New Roman"/>
          <w:color w:val="auto"/>
          <w:kern w:val="2"/>
          <w:sz w:val="30"/>
          <w:szCs w:val="20"/>
          <w:highlight w:val="none"/>
          <w:lang w:val="en-US" w:eastAsia="zh-CN" w:bidi="ar-SA"/>
        </w:rPr>
      </w:pPr>
    </w:p>
    <w:p>
      <w:pPr>
        <w:pStyle w:val="2"/>
        <w:rPr>
          <w:rFonts w:hint="default" w:ascii="Times New Roman" w:hAnsi="Times New Roman" w:cs="Times New Roman"/>
          <w:color w:val="auto"/>
          <w:kern w:val="2"/>
          <w:sz w:val="30"/>
          <w:szCs w:val="20"/>
          <w:highlight w:val="none"/>
          <w:lang w:val="en-US" w:eastAsia="zh-CN" w:bidi="ar-SA"/>
        </w:rPr>
      </w:pPr>
    </w:p>
    <w:p>
      <w:pPr>
        <w:rPr>
          <w:rFonts w:hint="default" w:ascii="Times New Roman" w:hAnsi="Times New Roman" w:cs="Times New Roman"/>
          <w:color w:val="auto"/>
          <w:kern w:val="2"/>
          <w:sz w:val="30"/>
          <w:szCs w:val="20"/>
          <w:highlight w:val="none"/>
          <w:lang w:val="en-US" w:eastAsia="zh-CN" w:bidi="ar-SA"/>
        </w:rPr>
      </w:pPr>
    </w:p>
    <w:p>
      <w:pPr>
        <w:pStyle w:val="2"/>
        <w:rPr>
          <w:rFonts w:hint="default" w:ascii="Times New Roman" w:hAnsi="Times New Roman" w:cs="Times New Roman"/>
          <w:color w:val="auto"/>
          <w:kern w:val="2"/>
          <w:sz w:val="30"/>
          <w:highlight w:val="none"/>
          <w:lang w:val="en-US" w:eastAsia="zh-CN" w:bidi="ar-SA"/>
        </w:rPr>
      </w:pPr>
      <w:bookmarkStart w:id="296" w:name="_Toc8386"/>
      <w:bookmarkStart w:id="297" w:name="_Toc9195"/>
      <w:bookmarkStart w:id="298" w:name="_Toc25362"/>
      <w:bookmarkStart w:id="299" w:name="_Toc2181"/>
      <w:bookmarkStart w:id="300" w:name="_Toc15383"/>
      <w:bookmarkStart w:id="301" w:name="_Toc876"/>
      <w:r>
        <w:rPr>
          <w:rFonts w:hint="default" w:ascii="Times New Roman" w:hAnsi="Times New Roman" w:cs="Times New Roman"/>
          <w:color w:val="auto"/>
          <w:kern w:val="2"/>
          <w:sz w:val="30"/>
          <w:highlight w:val="none"/>
          <w:lang w:val="en-US" w:eastAsia="zh-CN" w:bidi="ar-SA"/>
        </w:rPr>
        <w:t>附件</w:t>
      </w:r>
      <w:r>
        <w:rPr>
          <w:rFonts w:hint="eastAsia" w:ascii="Times New Roman" w:hAnsi="Times New Roman" w:cs="Times New Roman"/>
          <w:color w:val="auto"/>
          <w:kern w:val="2"/>
          <w:sz w:val="30"/>
          <w:highlight w:val="none"/>
          <w:lang w:val="en-US" w:eastAsia="zh-CN" w:bidi="ar-SA"/>
        </w:rPr>
        <w:t>七</w:t>
      </w:r>
      <w:r>
        <w:rPr>
          <w:rFonts w:hint="default" w:ascii="Times New Roman" w:hAnsi="Times New Roman" w:cs="Times New Roman"/>
          <w:color w:val="auto"/>
          <w:kern w:val="2"/>
          <w:sz w:val="30"/>
          <w:highlight w:val="none"/>
          <w:lang w:val="en-US" w:eastAsia="zh-CN" w:bidi="ar-SA"/>
        </w:rPr>
        <w:t xml:space="preserve"> 应急物资储备清单</w:t>
      </w:r>
      <w:bookmarkEnd w:id="296"/>
      <w:bookmarkEnd w:id="297"/>
      <w:bookmarkEnd w:id="298"/>
      <w:bookmarkEnd w:id="299"/>
      <w:bookmarkEnd w:id="300"/>
      <w:bookmarkEnd w:id="301"/>
    </w:p>
    <w:tbl>
      <w:tblPr>
        <w:tblStyle w:val="1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5"/>
        <w:gridCol w:w="3032"/>
        <w:gridCol w:w="2214"/>
        <w:gridCol w:w="22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139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序号</w:t>
            </w:r>
          </w:p>
        </w:tc>
        <w:tc>
          <w:tcPr>
            <w:tcW w:w="3032"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名称</w:t>
            </w:r>
          </w:p>
        </w:tc>
        <w:tc>
          <w:tcPr>
            <w:tcW w:w="2214"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单位</w:t>
            </w:r>
          </w:p>
        </w:tc>
        <w:tc>
          <w:tcPr>
            <w:tcW w:w="221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1</w:t>
            </w:r>
          </w:p>
        </w:tc>
        <w:tc>
          <w:tcPr>
            <w:tcW w:w="3032"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灭火器</w:t>
            </w:r>
          </w:p>
        </w:tc>
        <w:tc>
          <w:tcPr>
            <w:tcW w:w="2214"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个</w:t>
            </w:r>
          </w:p>
        </w:tc>
        <w:tc>
          <w:tcPr>
            <w:tcW w:w="221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139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2</w:t>
            </w:r>
          </w:p>
        </w:tc>
        <w:tc>
          <w:tcPr>
            <w:tcW w:w="3032"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消防沙</w:t>
            </w:r>
          </w:p>
        </w:tc>
        <w:tc>
          <w:tcPr>
            <w:tcW w:w="2214"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吨</w:t>
            </w:r>
          </w:p>
        </w:tc>
        <w:tc>
          <w:tcPr>
            <w:tcW w:w="221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3</w:t>
            </w:r>
          </w:p>
        </w:tc>
        <w:tc>
          <w:tcPr>
            <w:tcW w:w="3032"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铁铲</w:t>
            </w:r>
          </w:p>
        </w:tc>
        <w:tc>
          <w:tcPr>
            <w:tcW w:w="2214"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把</w:t>
            </w:r>
          </w:p>
        </w:tc>
        <w:tc>
          <w:tcPr>
            <w:tcW w:w="221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4</w:t>
            </w:r>
          </w:p>
        </w:tc>
        <w:tc>
          <w:tcPr>
            <w:tcW w:w="3032"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消防水池</w:t>
            </w:r>
          </w:p>
        </w:tc>
        <w:tc>
          <w:tcPr>
            <w:tcW w:w="2214"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个</w:t>
            </w:r>
          </w:p>
        </w:tc>
        <w:tc>
          <w:tcPr>
            <w:tcW w:w="2215" w:type="dxa"/>
            <w:vAlign w:val="center"/>
          </w:tcPr>
          <w:p>
            <w:pPr>
              <w:pStyle w:val="18"/>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1</w:t>
            </w:r>
          </w:p>
        </w:tc>
      </w:tr>
    </w:tbl>
    <w:p>
      <w:pPr>
        <w:pStyle w:val="2"/>
        <w:rPr>
          <w:rFonts w:hint="default"/>
          <w:lang w:val="en-US" w:eastAsia="zh-CN"/>
        </w:rPr>
      </w:pPr>
    </w:p>
    <w:sectPr>
      <w:pgSz w:w="11906" w:h="16838"/>
      <w:pgMar w:top="1080" w:right="1440" w:bottom="1080" w:left="1440" w:header="851" w:footer="992" w:gutter="0"/>
      <w:pgBorders>
        <w:top w:val="none" w:sz="0" w:space="0"/>
        <w:left w:val="none" w:sz="0" w:space="0"/>
        <w:bottom w:val="none" w:sz="0" w:space="0"/>
        <w:right w:val="none" w:sz="0" w:space="0"/>
      </w:pgBorders>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Segoe UI">
    <w:panose1 w:val="020B0502040204020203"/>
    <w:charset w:val="00"/>
    <w:family w:val="auto"/>
    <w:pitch w:val="default"/>
    <w:sig w:usb0="E4002EFF" w:usb1="C000E47F" w:usb2="00000009" w:usb3="00000000" w:csb0="200001FF" w:csb1="00000000"/>
  </w:font>
  <w:font w:name="仿宋">
    <w:panose1 w:val="02010609060101010101"/>
    <w:charset w:val="86"/>
    <w:family w:val="auto"/>
    <w:pitch w:val="default"/>
    <w:sig w:usb0="800002BF" w:usb1="38CF7CFA" w:usb2="00000016" w:usb3="00000000" w:csb0="00040001" w:csb1="00000000"/>
  </w:font>
  <w:font w:name="仿宋GB_2312">
    <w:altName w:val="仿宋"/>
    <w:panose1 w:val="00000000000000000000"/>
    <w:charset w:val="00"/>
    <w:family w:val="auto"/>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rPr>
        <w:rFonts w:hint="default" w:ascii="Times New Roman" w:hAnsi="Times New Roman" w:eastAsia="仿宋" w:cs="Times New Roman"/>
        <w:sz w:val="24"/>
        <w:szCs w:val="24"/>
        <w:lang w:eastAsia="zh-CN"/>
      </w:rPr>
    </w:pPr>
    <w:r>
      <w:rPr>
        <w:rFonts w:hint="default" w:ascii="Times New Roman" w:hAnsi="Times New Roman" w:cs="Times New Roman"/>
        <w:sz w:val="24"/>
        <w:szCs w:val="24"/>
        <w:lang w:eastAsia="zh-CN"/>
      </w:rPr>
      <w:fldChar w:fldCharType="begin"/>
    </w:r>
    <w:r>
      <w:rPr>
        <w:rFonts w:hint="default" w:ascii="Times New Roman" w:hAnsi="Times New Roman" w:cs="Times New Roman"/>
        <w:sz w:val="24"/>
        <w:szCs w:val="24"/>
        <w:lang w:eastAsia="zh-CN"/>
      </w:rPr>
      <w:instrText xml:space="preserve"> PAGE  \* MERGEFORMAT </w:instrText>
    </w:r>
    <w:r>
      <w:rPr>
        <w:rFonts w:hint="default" w:ascii="Times New Roman" w:hAnsi="Times New Roman" w:cs="Times New Roman"/>
        <w:sz w:val="24"/>
        <w:szCs w:val="24"/>
        <w:lang w:eastAsia="zh-CN"/>
      </w:rPr>
      <w:fldChar w:fldCharType="separate"/>
    </w:r>
    <w:r>
      <w:rPr>
        <w:rFonts w:hint="default" w:ascii="Times New Roman" w:hAnsi="Times New Roman" w:cs="Times New Roman"/>
        <w:sz w:val="24"/>
        <w:szCs w:val="24"/>
        <w:lang w:eastAsia="zh-CN"/>
      </w:rPr>
      <w:t>2</w:t>
    </w:r>
    <w:r>
      <w:rPr>
        <w:rFonts w:hint="default" w:ascii="Times New Roman" w:hAnsi="Times New Roman" w:cs="Times New Roman"/>
        <w:sz w:val="24"/>
        <w:szCs w:val="24"/>
        <w:lang w:eastAsia="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single" w:color="auto" w:sz="4" w:space="1"/>
      </w:pBdr>
      <w:jc w:val="center"/>
      <w:rPr>
        <w:rFonts w:hint="eastAsia"/>
        <w:sz w:val="24"/>
        <w:szCs w:val="24"/>
        <w:lang w:eastAsia="zh-CN"/>
      </w:rPr>
    </w:pPr>
    <w:r>
      <w:rPr>
        <w:rFonts w:hint="eastAsia"/>
        <w:sz w:val="24"/>
        <w:szCs w:val="24"/>
        <w:lang w:eastAsia="zh-CN"/>
      </w:rPr>
      <w:t>咸阳市秦都区宏大建材厂突发环境事件风险评估报告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CF7BA83"/>
    <w:multiLevelType w:val="singleLevel"/>
    <w:tmpl w:val="CCF7BA83"/>
    <w:lvl w:ilvl="0" w:tentative="0">
      <w:start w:val="1"/>
      <w:numFmt w:val="decimal"/>
      <w:suff w:val="nothing"/>
      <w:lvlText w:val="（%1）"/>
      <w:lvlJc w:val="left"/>
    </w:lvl>
  </w:abstractNum>
  <w:abstractNum w:abstractNumId="1">
    <w:nsid w:val="DE12C9A1"/>
    <w:multiLevelType w:val="singleLevel"/>
    <w:tmpl w:val="DE12C9A1"/>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E11062"/>
    <w:rsid w:val="005D6877"/>
    <w:rsid w:val="008D581F"/>
    <w:rsid w:val="00AF2FBA"/>
    <w:rsid w:val="00B404B2"/>
    <w:rsid w:val="013B1255"/>
    <w:rsid w:val="016460A4"/>
    <w:rsid w:val="01966B83"/>
    <w:rsid w:val="01E11062"/>
    <w:rsid w:val="01F044BF"/>
    <w:rsid w:val="02081984"/>
    <w:rsid w:val="028E3FD0"/>
    <w:rsid w:val="02A1609E"/>
    <w:rsid w:val="02ED6BA7"/>
    <w:rsid w:val="031506C1"/>
    <w:rsid w:val="03193072"/>
    <w:rsid w:val="035307FD"/>
    <w:rsid w:val="037C607B"/>
    <w:rsid w:val="044852C9"/>
    <w:rsid w:val="045324F4"/>
    <w:rsid w:val="04620456"/>
    <w:rsid w:val="047F0B89"/>
    <w:rsid w:val="04834862"/>
    <w:rsid w:val="04FD602F"/>
    <w:rsid w:val="05073135"/>
    <w:rsid w:val="05625AD4"/>
    <w:rsid w:val="059D1397"/>
    <w:rsid w:val="05A70544"/>
    <w:rsid w:val="05AA1925"/>
    <w:rsid w:val="05FF6CB6"/>
    <w:rsid w:val="0605562F"/>
    <w:rsid w:val="060C7B4F"/>
    <w:rsid w:val="0612597E"/>
    <w:rsid w:val="069F483C"/>
    <w:rsid w:val="06CB4D00"/>
    <w:rsid w:val="06D91DA2"/>
    <w:rsid w:val="07594B26"/>
    <w:rsid w:val="075A7D83"/>
    <w:rsid w:val="07991444"/>
    <w:rsid w:val="07B942E8"/>
    <w:rsid w:val="07B9795B"/>
    <w:rsid w:val="07FE5900"/>
    <w:rsid w:val="080F6D8B"/>
    <w:rsid w:val="083C52FF"/>
    <w:rsid w:val="08413DA2"/>
    <w:rsid w:val="085F02C1"/>
    <w:rsid w:val="089709D1"/>
    <w:rsid w:val="08BC2900"/>
    <w:rsid w:val="08DC4E9A"/>
    <w:rsid w:val="08E4270E"/>
    <w:rsid w:val="08FC288A"/>
    <w:rsid w:val="0904460A"/>
    <w:rsid w:val="091D6A8C"/>
    <w:rsid w:val="092C7D08"/>
    <w:rsid w:val="09B80855"/>
    <w:rsid w:val="09E44115"/>
    <w:rsid w:val="0A0D7EA7"/>
    <w:rsid w:val="0A26663E"/>
    <w:rsid w:val="0A7A0D5C"/>
    <w:rsid w:val="0B332D16"/>
    <w:rsid w:val="0B8F58D7"/>
    <w:rsid w:val="0B9B4A59"/>
    <w:rsid w:val="0BF7186F"/>
    <w:rsid w:val="0C1164D5"/>
    <w:rsid w:val="0C465FAB"/>
    <w:rsid w:val="0C9F1155"/>
    <w:rsid w:val="0CAD3D26"/>
    <w:rsid w:val="0CBF2087"/>
    <w:rsid w:val="0CC523F4"/>
    <w:rsid w:val="0D2D2D5C"/>
    <w:rsid w:val="0D4A203F"/>
    <w:rsid w:val="0D961BA8"/>
    <w:rsid w:val="0DBF1893"/>
    <w:rsid w:val="0DD53D74"/>
    <w:rsid w:val="0DE40413"/>
    <w:rsid w:val="0DE66684"/>
    <w:rsid w:val="0E0B5C91"/>
    <w:rsid w:val="0E2A4250"/>
    <w:rsid w:val="0E4519AD"/>
    <w:rsid w:val="0EB1587F"/>
    <w:rsid w:val="0EBC3B30"/>
    <w:rsid w:val="0EC47893"/>
    <w:rsid w:val="0F145903"/>
    <w:rsid w:val="0F3B3D02"/>
    <w:rsid w:val="0F45535F"/>
    <w:rsid w:val="0F6F3B17"/>
    <w:rsid w:val="0F725B51"/>
    <w:rsid w:val="0F75271C"/>
    <w:rsid w:val="0F825161"/>
    <w:rsid w:val="0FBE3EB6"/>
    <w:rsid w:val="101F7D6D"/>
    <w:rsid w:val="10535292"/>
    <w:rsid w:val="109D2723"/>
    <w:rsid w:val="10BC065A"/>
    <w:rsid w:val="10D23804"/>
    <w:rsid w:val="10E51497"/>
    <w:rsid w:val="10F02F51"/>
    <w:rsid w:val="110C41CF"/>
    <w:rsid w:val="110E08D9"/>
    <w:rsid w:val="114061C9"/>
    <w:rsid w:val="117914D7"/>
    <w:rsid w:val="119E2358"/>
    <w:rsid w:val="119E4072"/>
    <w:rsid w:val="11F277D0"/>
    <w:rsid w:val="11F53AB1"/>
    <w:rsid w:val="12166F56"/>
    <w:rsid w:val="12393EA0"/>
    <w:rsid w:val="1257357D"/>
    <w:rsid w:val="1264714C"/>
    <w:rsid w:val="126F4E68"/>
    <w:rsid w:val="127C0EA0"/>
    <w:rsid w:val="127D7218"/>
    <w:rsid w:val="12833E9D"/>
    <w:rsid w:val="12CF579E"/>
    <w:rsid w:val="13102EFA"/>
    <w:rsid w:val="134B2CE8"/>
    <w:rsid w:val="137C0161"/>
    <w:rsid w:val="13B243F1"/>
    <w:rsid w:val="13C31038"/>
    <w:rsid w:val="13DD6E4C"/>
    <w:rsid w:val="14042DE9"/>
    <w:rsid w:val="1468295C"/>
    <w:rsid w:val="14C9179E"/>
    <w:rsid w:val="14EB3971"/>
    <w:rsid w:val="14FD35A8"/>
    <w:rsid w:val="152A7E67"/>
    <w:rsid w:val="15507BB6"/>
    <w:rsid w:val="15531EFB"/>
    <w:rsid w:val="15627FB8"/>
    <w:rsid w:val="156C516D"/>
    <w:rsid w:val="158A2E38"/>
    <w:rsid w:val="15982789"/>
    <w:rsid w:val="15C4758C"/>
    <w:rsid w:val="15F158EA"/>
    <w:rsid w:val="162D243C"/>
    <w:rsid w:val="16355AEF"/>
    <w:rsid w:val="16913648"/>
    <w:rsid w:val="16A9326A"/>
    <w:rsid w:val="16B71269"/>
    <w:rsid w:val="171F253B"/>
    <w:rsid w:val="174E14DA"/>
    <w:rsid w:val="176173C8"/>
    <w:rsid w:val="176A679B"/>
    <w:rsid w:val="17740F1E"/>
    <w:rsid w:val="17921F0D"/>
    <w:rsid w:val="17D47905"/>
    <w:rsid w:val="185E59E4"/>
    <w:rsid w:val="18670547"/>
    <w:rsid w:val="18941936"/>
    <w:rsid w:val="1894401C"/>
    <w:rsid w:val="18C2585E"/>
    <w:rsid w:val="18C307C0"/>
    <w:rsid w:val="18FD61A6"/>
    <w:rsid w:val="191F7FBC"/>
    <w:rsid w:val="193C58B4"/>
    <w:rsid w:val="1961711A"/>
    <w:rsid w:val="19750036"/>
    <w:rsid w:val="19A0362F"/>
    <w:rsid w:val="19C74C0C"/>
    <w:rsid w:val="19C83C4C"/>
    <w:rsid w:val="19DE0275"/>
    <w:rsid w:val="19EF426C"/>
    <w:rsid w:val="1A247782"/>
    <w:rsid w:val="1A374FB6"/>
    <w:rsid w:val="1A493830"/>
    <w:rsid w:val="1AC0637F"/>
    <w:rsid w:val="1AC10ECF"/>
    <w:rsid w:val="1AF704C8"/>
    <w:rsid w:val="1B287E7A"/>
    <w:rsid w:val="1B2B1887"/>
    <w:rsid w:val="1B845427"/>
    <w:rsid w:val="1BAA67EF"/>
    <w:rsid w:val="1BB91B42"/>
    <w:rsid w:val="1BDC3F17"/>
    <w:rsid w:val="1BDC79D3"/>
    <w:rsid w:val="1C097C1E"/>
    <w:rsid w:val="1CA74A74"/>
    <w:rsid w:val="1CEC1DD4"/>
    <w:rsid w:val="1D076A9C"/>
    <w:rsid w:val="1D146380"/>
    <w:rsid w:val="1D282CAB"/>
    <w:rsid w:val="1D5D7BC6"/>
    <w:rsid w:val="1D5E2285"/>
    <w:rsid w:val="1D814679"/>
    <w:rsid w:val="1D8608D7"/>
    <w:rsid w:val="1DC7480E"/>
    <w:rsid w:val="1DDF05DA"/>
    <w:rsid w:val="1E9A2F7A"/>
    <w:rsid w:val="1EAF72AD"/>
    <w:rsid w:val="1EC55C7E"/>
    <w:rsid w:val="1F05416A"/>
    <w:rsid w:val="1F3321FC"/>
    <w:rsid w:val="1F571B19"/>
    <w:rsid w:val="1F64197A"/>
    <w:rsid w:val="1F6503FF"/>
    <w:rsid w:val="1F903A28"/>
    <w:rsid w:val="1F974047"/>
    <w:rsid w:val="1FC305FE"/>
    <w:rsid w:val="20754259"/>
    <w:rsid w:val="20B7211F"/>
    <w:rsid w:val="21056CA2"/>
    <w:rsid w:val="210F109E"/>
    <w:rsid w:val="21184C45"/>
    <w:rsid w:val="21216EED"/>
    <w:rsid w:val="21482F54"/>
    <w:rsid w:val="21953F43"/>
    <w:rsid w:val="21977FA2"/>
    <w:rsid w:val="21D06D2E"/>
    <w:rsid w:val="22026882"/>
    <w:rsid w:val="2214706D"/>
    <w:rsid w:val="222C4E9A"/>
    <w:rsid w:val="224B4CDC"/>
    <w:rsid w:val="22584E0A"/>
    <w:rsid w:val="22702CA8"/>
    <w:rsid w:val="227E4FE4"/>
    <w:rsid w:val="22C87678"/>
    <w:rsid w:val="234229CF"/>
    <w:rsid w:val="235A0D94"/>
    <w:rsid w:val="23B10CA0"/>
    <w:rsid w:val="24541709"/>
    <w:rsid w:val="24D60789"/>
    <w:rsid w:val="24E80BC7"/>
    <w:rsid w:val="2537620A"/>
    <w:rsid w:val="25E904AE"/>
    <w:rsid w:val="25EB2C3B"/>
    <w:rsid w:val="25F33495"/>
    <w:rsid w:val="26083B3B"/>
    <w:rsid w:val="26172FB7"/>
    <w:rsid w:val="26660F2D"/>
    <w:rsid w:val="26AA794A"/>
    <w:rsid w:val="26D676F5"/>
    <w:rsid w:val="2724014E"/>
    <w:rsid w:val="275B1166"/>
    <w:rsid w:val="27670B08"/>
    <w:rsid w:val="27995FAA"/>
    <w:rsid w:val="27A373F8"/>
    <w:rsid w:val="28565331"/>
    <w:rsid w:val="289C49D1"/>
    <w:rsid w:val="290A759D"/>
    <w:rsid w:val="290D6C3F"/>
    <w:rsid w:val="29164F2C"/>
    <w:rsid w:val="297625E6"/>
    <w:rsid w:val="299B203D"/>
    <w:rsid w:val="29AF6A06"/>
    <w:rsid w:val="29DE4CBE"/>
    <w:rsid w:val="2A002B23"/>
    <w:rsid w:val="2A267694"/>
    <w:rsid w:val="2A2B4334"/>
    <w:rsid w:val="2A3729B9"/>
    <w:rsid w:val="2A3E451E"/>
    <w:rsid w:val="2A457B22"/>
    <w:rsid w:val="2AC00D03"/>
    <w:rsid w:val="2B0B5D4A"/>
    <w:rsid w:val="2B631B69"/>
    <w:rsid w:val="2B9147AC"/>
    <w:rsid w:val="2B9B2025"/>
    <w:rsid w:val="2C08590E"/>
    <w:rsid w:val="2C2444D4"/>
    <w:rsid w:val="2C2B7367"/>
    <w:rsid w:val="2C5119F8"/>
    <w:rsid w:val="2C703DAF"/>
    <w:rsid w:val="2C8A50FB"/>
    <w:rsid w:val="2CBB58D6"/>
    <w:rsid w:val="2D003F41"/>
    <w:rsid w:val="2D545BFE"/>
    <w:rsid w:val="2E4054BE"/>
    <w:rsid w:val="2E5141E3"/>
    <w:rsid w:val="2E565471"/>
    <w:rsid w:val="2E9E66FF"/>
    <w:rsid w:val="2EA77E14"/>
    <w:rsid w:val="2EDB26BE"/>
    <w:rsid w:val="2EDF7F15"/>
    <w:rsid w:val="2F0D2563"/>
    <w:rsid w:val="2F0E6CF0"/>
    <w:rsid w:val="2F1A7F3E"/>
    <w:rsid w:val="2F3C2087"/>
    <w:rsid w:val="2F585B23"/>
    <w:rsid w:val="2FA928DB"/>
    <w:rsid w:val="2FCF5277"/>
    <w:rsid w:val="2FF217CE"/>
    <w:rsid w:val="303B02BC"/>
    <w:rsid w:val="303C2775"/>
    <w:rsid w:val="304279D1"/>
    <w:rsid w:val="308A5CE3"/>
    <w:rsid w:val="309C048D"/>
    <w:rsid w:val="30DC6FBD"/>
    <w:rsid w:val="30EB0DC0"/>
    <w:rsid w:val="30ED431C"/>
    <w:rsid w:val="31AC1BCB"/>
    <w:rsid w:val="31C41A0E"/>
    <w:rsid w:val="31CE1968"/>
    <w:rsid w:val="31D80F4D"/>
    <w:rsid w:val="31E17C98"/>
    <w:rsid w:val="31F41CBA"/>
    <w:rsid w:val="32113336"/>
    <w:rsid w:val="326220E6"/>
    <w:rsid w:val="3263358C"/>
    <w:rsid w:val="326C4600"/>
    <w:rsid w:val="32993BE5"/>
    <w:rsid w:val="329E431C"/>
    <w:rsid w:val="32EC0729"/>
    <w:rsid w:val="337477A3"/>
    <w:rsid w:val="33922435"/>
    <w:rsid w:val="3395625B"/>
    <w:rsid w:val="339C09D0"/>
    <w:rsid w:val="33AD0973"/>
    <w:rsid w:val="33B41C6E"/>
    <w:rsid w:val="341C23EE"/>
    <w:rsid w:val="34427D86"/>
    <w:rsid w:val="3450742F"/>
    <w:rsid w:val="345F211F"/>
    <w:rsid w:val="34C52D3B"/>
    <w:rsid w:val="34CD2C17"/>
    <w:rsid w:val="34F67135"/>
    <w:rsid w:val="3523369C"/>
    <w:rsid w:val="353E5365"/>
    <w:rsid w:val="35745F33"/>
    <w:rsid w:val="35A20065"/>
    <w:rsid w:val="35AF0C28"/>
    <w:rsid w:val="35B969CF"/>
    <w:rsid w:val="368126D1"/>
    <w:rsid w:val="369829BF"/>
    <w:rsid w:val="36B43636"/>
    <w:rsid w:val="36CB00A6"/>
    <w:rsid w:val="36E42C52"/>
    <w:rsid w:val="374E4DB0"/>
    <w:rsid w:val="37D009A3"/>
    <w:rsid w:val="386B61B4"/>
    <w:rsid w:val="38821552"/>
    <w:rsid w:val="38927EDC"/>
    <w:rsid w:val="38981C1A"/>
    <w:rsid w:val="38C0421F"/>
    <w:rsid w:val="38C6018D"/>
    <w:rsid w:val="39105419"/>
    <w:rsid w:val="393916A0"/>
    <w:rsid w:val="394429AE"/>
    <w:rsid w:val="394E5D1C"/>
    <w:rsid w:val="395124B2"/>
    <w:rsid w:val="3970420B"/>
    <w:rsid w:val="39807487"/>
    <w:rsid w:val="39CA553F"/>
    <w:rsid w:val="39D46288"/>
    <w:rsid w:val="3A7D0C25"/>
    <w:rsid w:val="3AC6659E"/>
    <w:rsid w:val="3AF22862"/>
    <w:rsid w:val="3B2309AF"/>
    <w:rsid w:val="3B560329"/>
    <w:rsid w:val="3BBD182B"/>
    <w:rsid w:val="3BC54AC6"/>
    <w:rsid w:val="3BF923A7"/>
    <w:rsid w:val="3BFD1CB4"/>
    <w:rsid w:val="3C1A0264"/>
    <w:rsid w:val="3C2828E1"/>
    <w:rsid w:val="3C8D65D7"/>
    <w:rsid w:val="3CA70E20"/>
    <w:rsid w:val="3CBD1652"/>
    <w:rsid w:val="3CF001D9"/>
    <w:rsid w:val="3D020BBD"/>
    <w:rsid w:val="3D1B5AE1"/>
    <w:rsid w:val="3D255659"/>
    <w:rsid w:val="3D345A48"/>
    <w:rsid w:val="3D3B6C9B"/>
    <w:rsid w:val="3D4D4CE8"/>
    <w:rsid w:val="3D572881"/>
    <w:rsid w:val="3D744183"/>
    <w:rsid w:val="3D9E01A9"/>
    <w:rsid w:val="3DCA47A9"/>
    <w:rsid w:val="3E083AD0"/>
    <w:rsid w:val="3E0B083E"/>
    <w:rsid w:val="3E27558D"/>
    <w:rsid w:val="3E3169DD"/>
    <w:rsid w:val="3E413D2F"/>
    <w:rsid w:val="3E576BAC"/>
    <w:rsid w:val="3E605CCA"/>
    <w:rsid w:val="3E757D15"/>
    <w:rsid w:val="3EF832F2"/>
    <w:rsid w:val="3F06492F"/>
    <w:rsid w:val="3F1A0719"/>
    <w:rsid w:val="3F262B91"/>
    <w:rsid w:val="3F4C60EC"/>
    <w:rsid w:val="3FAE02FF"/>
    <w:rsid w:val="3FB07EA9"/>
    <w:rsid w:val="3FE16BB7"/>
    <w:rsid w:val="3FE85307"/>
    <w:rsid w:val="3FF81C26"/>
    <w:rsid w:val="40037155"/>
    <w:rsid w:val="402116FE"/>
    <w:rsid w:val="407D2F8A"/>
    <w:rsid w:val="40D43C01"/>
    <w:rsid w:val="40D90578"/>
    <w:rsid w:val="41281E4B"/>
    <w:rsid w:val="419313E1"/>
    <w:rsid w:val="41A15CC1"/>
    <w:rsid w:val="41B12F48"/>
    <w:rsid w:val="41E75E05"/>
    <w:rsid w:val="423600B8"/>
    <w:rsid w:val="42665061"/>
    <w:rsid w:val="42C919BE"/>
    <w:rsid w:val="42EB2668"/>
    <w:rsid w:val="42F87F9C"/>
    <w:rsid w:val="431E0025"/>
    <w:rsid w:val="43AB2D66"/>
    <w:rsid w:val="43CA0112"/>
    <w:rsid w:val="43CC5BB9"/>
    <w:rsid w:val="43F126E1"/>
    <w:rsid w:val="4462450E"/>
    <w:rsid w:val="44D23784"/>
    <w:rsid w:val="452F5C3B"/>
    <w:rsid w:val="453250A4"/>
    <w:rsid w:val="454C572B"/>
    <w:rsid w:val="45772F56"/>
    <w:rsid w:val="457F6E3D"/>
    <w:rsid w:val="460B2A54"/>
    <w:rsid w:val="46732C95"/>
    <w:rsid w:val="46E8195C"/>
    <w:rsid w:val="46ED4B49"/>
    <w:rsid w:val="46EF3256"/>
    <w:rsid w:val="46F61227"/>
    <w:rsid w:val="47135433"/>
    <w:rsid w:val="471F26D5"/>
    <w:rsid w:val="4738753B"/>
    <w:rsid w:val="4760420F"/>
    <w:rsid w:val="47C11D57"/>
    <w:rsid w:val="47ED3F1A"/>
    <w:rsid w:val="4833427D"/>
    <w:rsid w:val="48791C04"/>
    <w:rsid w:val="48B2534F"/>
    <w:rsid w:val="48BC6A3C"/>
    <w:rsid w:val="48E120CF"/>
    <w:rsid w:val="491F5A6A"/>
    <w:rsid w:val="49826CD6"/>
    <w:rsid w:val="4985419B"/>
    <w:rsid w:val="49BA69C1"/>
    <w:rsid w:val="49FF7F78"/>
    <w:rsid w:val="4A3D4931"/>
    <w:rsid w:val="4A5F771C"/>
    <w:rsid w:val="4A6C7E43"/>
    <w:rsid w:val="4ACC093B"/>
    <w:rsid w:val="4AE10269"/>
    <w:rsid w:val="4B0A0AD0"/>
    <w:rsid w:val="4B2064CF"/>
    <w:rsid w:val="4B575A8A"/>
    <w:rsid w:val="4B665D47"/>
    <w:rsid w:val="4BC56A03"/>
    <w:rsid w:val="4C6441C0"/>
    <w:rsid w:val="4C6C1646"/>
    <w:rsid w:val="4C811A18"/>
    <w:rsid w:val="4C844C8E"/>
    <w:rsid w:val="4CEC42E1"/>
    <w:rsid w:val="4D72071B"/>
    <w:rsid w:val="4DAA7B8C"/>
    <w:rsid w:val="4DCD277C"/>
    <w:rsid w:val="4DF8344A"/>
    <w:rsid w:val="4E3E682E"/>
    <w:rsid w:val="4E7C6C35"/>
    <w:rsid w:val="4EC63407"/>
    <w:rsid w:val="4F135E12"/>
    <w:rsid w:val="4F1D5F32"/>
    <w:rsid w:val="4F313D8F"/>
    <w:rsid w:val="4F392609"/>
    <w:rsid w:val="4F60481F"/>
    <w:rsid w:val="4F680CF0"/>
    <w:rsid w:val="4F90742B"/>
    <w:rsid w:val="4FA11D48"/>
    <w:rsid w:val="501C70AA"/>
    <w:rsid w:val="502876EB"/>
    <w:rsid w:val="504377DB"/>
    <w:rsid w:val="504E24B0"/>
    <w:rsid w:val="50DA4FD8"/>
    <w:rsid w:val="50EF3A8B"/>
    <w:rsid w:val="512D3106"/>
    <w:rsid w:val="51B86E48"/>
    <w:rsid w:val="521B7488"/>
    <w:rsid w:val="523C6653"/>
    <w:rsid w:val="524B46DC"/>
    <w:rsid w:val="526D0563"/>
    <w:rsid w:val="52820E02"/>
    <w:rsid w:val="52C23906"/>
    <w:rsid w:val="52E3774D"/>
    <w:rsid w:val="533039A0"/>
    <w:rsid w:val="53503A6C"/>
    <w:rsid w:val="53B83194"/>
    <w:rsid w:val="541324CC"/>
    <w:rsid w:val="543A67C0"/>
    <w:rsid w:val="544554D8"/>
    <w:rsid w:val="5450279C"/>
    <w:rsid w:val="546524DD"/>
    <w:rsid w:val="54765269"/>
    <w:rsid w:val="54795148"/>
    <w:rsid w:val="54B336D2"/>
    <w:rsid w:val="54DE7577"/>
    <w:rsid w:val="54FA6CC4"/>
    <w:rsid w:val="55282E65"/>
    <w:rsid w:val="55A35803"/>
    <w:rsid w:val="560832A5"/>
    <w:rsid w:val="561376E0"/>
    <w:rsid w:val="56972CFB"/>
    <w:rsid w:val="56E96F0B"/>
    <w:rsid w:val="574D7303"/>
    <w:rsid w:val="575912D9"/>
    <w:rsid w:val="57785870"/>
    <w:rsid w:val="577E7D99"/>
    <w:rsid w:val="57846965"/>
    <w:rsid w:val="57910609"/>
    <w:rsid w:val="57B9676A"/>
    <w:rsid w:val="581A0CA7"/>
    <w:rsid w:val="581E6CF3"/>
    <w:rsid w:val="58A662EA"/>
    <w:rsid w:val="58D71A95"/>
    <w:rsid w:val="58DD2C79"/>
    <w:rsid w:val="58FF46F4"/>
    <w:rsid w:val="593B1BBB"/>
    <w:rsid w:val="595E2250"/>
    <w:rsid w:val="5A592351"/>
    <w:rsid w:val="5A6E388D"/>
    <w:rsid w:val="5A8730A8"/>
    <w:rsid w:val="5A8E2FCA"/>
    <w:rsid w:val="5AA563D8"/>
    <w:rsid w:val="5B1F3693"/>
    <w:rsid w:val="5B337DE6"/>
    <w:rsid w:val="5B411C46"/>
    <w:rsid w:val="5B45694F"/>
    <w:rsid w:val="5B67318F"/>
    <w:rsid w:val="5B9046D2"/>
    <w:rsid w:val="5BB83448"/>
    <w:rsid w:val="5BCB162D"/>
    <w:rsid w:val="5BD74C03"/>
    <w:rsid w:val="5BE537A0"/>
    <w:rsid w:val="5C1C37A5"/>
    <w:rsid w:val="5C332258"/>
    <w:rsid w:val="5C735927"/>
    <w:rsid w:val="5C7D0AB3"/>
    <w:rsid w:val="5C8B2693"/>
    <w:rsid w:val="5C917877"/>
    <w:rsid w:val="5C9C0011"/>
    <w:rsid w:val="5CCB53DF"/>
    <w:rsid w:val="5CD14AE3"/>
    <w:rsid w:val="5D1756D4"/>
    <w:rsid w:val="5D4A7757"/>
    <w:rsid w:val="5D5F11CD"/>
    <w:rsid w:val="5DA255EC"/>
    <w:rsid w:val="5DBB5782"/>
    <w:rsid w:val="5E2671B2"/>
    <w:rsid w:val="5E5E111B"/>
    <w:rsid w:val="5E7E1058"/>
    <w:rsid w:val="5E9D696C"/>
    <w:rsid w:val="5EBB13F8"/>
    <w:rsid w:val="5EC93135"/>
    <w:rsid w:val="5EFB39D6"/>
    <w:rsid w:val="60107735"/>
    <w:rsid w:val="60115028"/>
    <w:rsid w:val="608268B7"/>
    <w:rsid w:val="6083391C"/>
    <w:rsid w:val="608658F0"/>
    <w:rsid w:val="60A50C22"/>
    <w:rsid w:val="60CC24EC"/>
    <w:rsid w:val="60E16F60"/>
    <w:rsid w:val="60FE7F41"/>
    <w:rsid w:val="61EE2111"/>
    <w:rsid w:val="621B7075"/>
    <w:rsid w:val="62335A0E"/>
    <w:rsid w:val="627F6363"/>
    <w:rsid w:val="630B6258"/>
    <w:rsid w:val="63122E82"/>
    <w:rsid w:val="633C2ED3"/>
    <w:rsid w:val="63521FD0"/>
    <w:rsid w:val="636460F4"/>
    <w:rsid w:val="6371726D"/>
    <w:rsid w:val="637A3D8E"/>
    <w:rsid w:val="639A28C7"/>
    <w:rsid w:val="63B247A4"/>
    <w:rsid w:val="63D33CA6"/>
    <w:rsid w:val="63F5636B"/>
    <w:rsid w:val="641855E1"/>
    <w:rsid w:val="644B0895"/>
    <w:rsid w:val="647D4353"/>
    <w:rsid w:val="6484289C"/>
    <w:rsid w:val="64B50DA0"/>
    <w:rsid w:val="64D312A8"/>
    <w:rsid w:val="64DE1487"/>
    <w:rsid w:val="65156D17"/>
    <w:rsid w:val="653B0662"/>
    <w:rsid w:val="653B4F43"/>
    <w:rsid w:val="656628B0"/>
    <w:rsid w:val="656B1B80"/>
    <w:rsid w:val="659C2F57"/>
    <w:rsid w:val="65C04DF5"/>
    <w:rsid w:val="65DB3AD1"/>
    <w:rsid w:val="65F40ECA"/>
    <w:rsid w:val="660304D7"/>
    <w:rsid w:val="661D204E"/>
    <w:rsid w:val="66305D34"/>
    <w:rsid w:val="6659677D"/>
    <w:rsid w:val="666B24B3"/>
    <w:rsid w:val="66AC1CC8"/>
    <w:rsid w:val="66CB6C1E"/>
    <w:rsid w:val="66EB3063"/>
    <w:rsid w:val="66EF4582"/>
    <w:rsid w:val="671916B6"/>
    <w:rsid w:val="67715C79"/>
    <w:rsid w:val="67776147"/>
    <w:rsid w:val="678C3163"/>
    <w:rsid w:val="679756A7"/>
    <w:rsid w:val="6799782B"/>
    <w:rsid w:val="67E156DA"/>
    <w:rsid w:val="67E51A80"/>
    <w:rsid w:val="68173DCE"/>
    <w:rsid w:val="68212C0C"/>
    <w:rsid w:val="68357800"/>
    <w:rsid w:val="683E3038"/>
    <w:rsid w:val="686656ED"/>
    <w:rsid w:val="687872BC"/>
    <w:rsid w:val="68A5285D"/>
    <w:rsid w:val="68A8460F"/>
    <w:rsid w:val="68C324D1"/>
    <w:rsid w:val="695E3C1C"/>
    <w:rsid w:val="696C6576"/>
    <w:rsid w:val="696C6876"/>
    <w:rsid w:val="696E1011"/>
    <w:rsid w:val="699057CE"/>
    <w:rsid w:val="69A56F7E"/>
    <w:rsid w:val="69BA25A8"/>
    <w:rsid w:val="69F21CA6"/>
    <w:rsid w:val="6A2153C4"/>
    <w:rsid w:val="6A513894"/>
    <w:rsid w:val="6A7E1BB2"/>
    <w:rsid w:val="6AB65679"/>
    <w:rsid w:val="6ADB4381"/>
    <w:rsid w:val="6AE3700E"/>
    <w:rsid w:val="6B02606A"/>
    <w:rsid w:val="6B3C3B7E"/>
    <w:rsid w:val="6B5B5638"/>
    <w:rsid w:val="6B701147"/>
    <w:rsid w:val="6B753905"/>
    <w:rsid w:val="6BB04825"/>
    <w:rsid w:val="6BB82A03"/>
    <w:rsid w:val="6BD0245B"/>
    <w:rsid w:val="6C033657"/>
    <w:rsid w:val="6C1071AE"/>
    <w:rsid w:val="6C301DC3"/>
    <w:rsid w:val="6C6B573B"/>
    <w:rsid w:val="6C783270"/>
    <w:rsid w:val="6C9B3946"/>
    <w:rsid w:val="6CF7771F"/>
    <w:rsid w:val="6D742913"/>
    <w:rsid w:val="6D8B0239"/>
    <w:rsid w:val="6DA12CF8"/>
    <w:rsid w:val="6DA13717"/>
    <w:rsid w:val="6DC56007"/>
    <w:rsid w:val="6DCE1B7B"/>
    <w:rsid w:val="6E097013"/>
    <w:rsid w:val="6E1F7BCB"/>
    <w:rsid w:val="6E9C4274"/>
    <w:rsid w:val="6EAD20FF"/>
    <w:rsid w:val="6EB160D7"/>
    <w:rsid w:val="6EC13AD8"/>
    <w:rsid w:val="6F10355E"/>
    <w:rsid w:val="6F513029"/>
    <w:rsid w:val="6F861DD3"/>
    <w:rsid w:val="6FAD50DE"/>
    <w:rsid w:val="6FBA324E"/>
    <w:rsid w:val="70402C8E"/>
    <w:rsid w:val="704201A0"/>
    <w:rsid w:val="704C1F0F"/>
    <w:rsid w:val="70625138"/>
    <w:rsid w:val="708A4D88"/>
    <w:rsid w:val="709C2342"/>
    <w:rsid w:val="70B24C32"/>
    <w:rsid w:val="70C5015B"/>
    <w:rsid w:val="710034AA"/>
    <w:rsid w:val="71033B63"/>
    <w:rsid w:val="71151A1B"/>
    <w:rsid w:val="717C1C22"/>
    <w:rsid w:val="71851C45"/>
    <w:rsid w:val="71D04621"/>
    <w:rsid w:val="71E17959"/>
    <w:rsid w:val="71F03D2A"/>
    <w:rsid w:val="7228010D"/>
    <w:rsid w:val="723F1A62"/>
    <w:rsid w:val="725A19D0"/>
    <w:rsid w:val="72AB3EE0"/>
    <w:rsid w:val="72E57AC1"/>
    <w:rsid w:val="72FE0D83"/>
    <w:rsid w:val="738E059D"/>
    <w:rsid w:val="73CF5736"/>
    <w:rsid w:val="73D276CB"/>
    <w:rsid w:val="743806E7"/>
    <w:rsid w:val="745F048B"/>
    <w:rsid w:val="750B4A7E"/>
    <w:rsid w:val="755414C6"/>
    <w:rsid w:val="755C2F52"/>
    <w:rsid w:val="75657656"/>
    <w:rsid w:val="756B6EE4"/>
    <w:rsid w:val="75DE3D23"/>
    <w:rsid w:val="76105C90"/>
    <w:rsid w:val="762E5B19"/>
    <w:rsid w:val="767C234E"/>
    <w:rsid w:val="76946F17"/>
    <w:rsid w:val="769973B3"/>
    <w:rsid w:val="769D397C"/>
    <w:rsid w:val="76C24F10"/>
    <w:rsid w:val="76CE4CB0"/>
    <w:rsid w:val="76D13649"/>
    <w:rsid w:val="76E73A93"/>
    <w:rsid w:val="77086F8E"/>
    <w:rsid w:val="771F3AFF"/>
    <w:rsid w:val="774C10B7"/>
    <w:rsid w:val="774D2721"/>
    <w:rsid w:val="77545989"/>
    <w:rsid w:val="777643FC"/>
    <w:rsid w:val="77AF20C1"/>
    <w:rsid w:val="77CE4C70"/>
    <w:rsid w:val="77E80458"/>
    <w:rsid w:val="77FC4B9C"/>
    <w:rsid w:val="78214C87"/>
    <w:rsid w:val="785B4BA0"/>
    <w:rsid w:val="785E2C56"/>
    <w:rsid w:val="787E6E0E"/>
    <w:rsid w:val="78B86FCA"/>
    <w:rsid w:val="78BD7D44"/>
    <w:rsid w:val="78BE071E"/>
    <w:rsid w:val="78D73577"/>
    <w:rsid w:val="79042FC7"/>
    <w:rsid w:val="79293441"/>
    <w:rsid w:val="79297763"/>
    <w:rsid w:val="7932523B"/>
    <w:rsid w:val="793360A2"/>
    <w:rsid w:val="7940242C"/>
    <w:rsid w:val="79B75BA9"/>
    <w:rsid w:val="79CC5298"/>
    <w:rsid w:val="7A034B9A"/>
    <w:rsid w:val="7A373ACF"/>
    <w:rsid w:val="7A6C1135"/>
    <w:rsid w:val="7AB55737"/>
    <w:rsid w:val="7B0C6AE2"/>
    <w:rsid w:val="7B366186"/>
    <w:rsid w:val="7B406481"/>
    <w:rsid w:val="7BB30809"/>
    <w:rsid w:val="7BB879DA"/>
    <w:rsid w:val="7C186C70"/>
    <w:rsid w:val="7C187AD4"/>
    <w:rsid w:val="7C4E4F1B"/>
    <w:rsid w:val="7C6E0214"/>
    <w:rsid w:val="7C7B0550"/>
    <w:rsid w:val="7C7D56C4"/>
    <w:rsid w:val="7CF36147"/>
    <w:rsid w:val="7D102997"/>
    <w:rsid w:val="7D531C43"/>
    <w:rsid w:val="7D552B18"/>
    <w:rsid w:val="7D5B0DA0"/>
    <w:rsid w:val="7D9004F5"/>
    <w:rsid w:val="7DA25372"/>
    <w:rsid w:val="7DA954DC"/>
    <w:rsid w:val="7DB311F2"/>
    <w:rsid w:val="7DE9658B"/>
    <w:rsid w:val="7DFD4095"/>
    <w:rsid w:val="7DFE6FA8"/>
    <w:rsid w:val="7E4E56D3"/>
    <w:rsid w:val="7E4F64DB"/>
    <w:rsid w:val="7E737C9D"/>
    <w:rsid w:val="7EAD5E8A"/>
    <w:rsid w:val="7ED86894"/>
    <w:rsid w:val="7F370122"/>
    <w:rsid w:val="7F6657C9"/>
    <w:rsid w:val="7F78165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jc w:val="both"/>
    </w:pPr>
    <w:rPr>
      <w:rFonts w:ascii="Calibri" w:hAnsi="Calibri" w:eastAsia="仿宋" w:cstheme="minorBidi"/>
      <w:kern w:val="2"/>
      <w:sz w:val="28"/>
      <w:szCs w:val="24"/>
      <w:lang w:val="en-US" w:eastAsia="zh-CN" w:bidi="ar-SA"/>
    </w:rPr>
  </w:style>
  <w:style w:type="paragraph" w:styleId="3">
    <w:name w:val="heading 1"/>
    <w:basedOn w:val="1"/>
    <w:next w:val="1"/>
    <w:qFormat/>
    <w:uiPriority w:val="0"/>
    <w:pPr>
      <w:keepNext/>
      <w:keepLines/>
      <w:spacing w:beforeLines="0" w:beforeAutospacing="0" w:afterLines="0" w:afterAutospacing="0" w:line="360" w:lineRule="auto"/>
      <w:outlineLvl w:val="0"/>
    </w:pPr>
    <w:rPr>
      <w:b/>
      <w:kern w:val="44"/>
      <w:sz w:val="32"/>
    </w:rPr>
  </w:style>
  <w:style w:type="paragraph" w:styleId="2">
    <w:name w:val="heading 2"/>
    <w:basedOn w:val="1"/>
    <w:next w:val="1"/>
    <w:unhideWhenUsed/>
    <w:qFormat/>
    <w:uiPriority w:val="0"/>
    <w:pPr>
      <w:keepNext/>
      <w:keepLines/>
      <w:spacing w:beforeLines="0" w:beforeAutospacing="0" w:afterLines="0" w:afterAutospacing="0" w:line="360" w:lineRule="auto"/>
      <w:outlineLvl w:val="1"/>
    </w:pPr>
    <w:rPr>
      <w:rFonts w:ascii="Arial" w:hAnsi="Arial"/>
      <w:b/>
      <w:sz w:val="32"/>
    </w:rPr>
  </w:style>
  <w:style w:type="paragraph" w:styleId="4">
    <w:name w:val="heading 3"/>
    <w:basedOn w:val="1"/>
    <w:next w:val="1"/>
    <w:unhideWhenUsed/>
    <w:qFormat/>
    <w:uiPriority w:val="0"/>
    <w:pPr>
      <w:keepNext/>
      <w:keepLines/>
      <w:spacing w:beforeLines="0" w:beforeAutospacing="0" w:afterLines="0" w:afterAutospacing="0" w:line="360" w:lineRule="auto"/>
      <w:outlineLvl w:val="2"/>
    </w:pPr>
    <w:rPr>
      <w:b/>
      <w:sz w:val="28"/>
    </w:rPr>
  </w:style>
  <w:style w:type="paragraph" w:styleId="5">
    <w:name w:val="heading 4"/>
    <w:basedOn w:val="1"/>
    <w:next w:val="1"/>
    <w:unhideWhenUsed/>
    <w:qFormat/>
    <w:uiPriority w:val="0"/>
    <w:pPr>
      <w:keepNext/>
      <w:keepLines/>
      <w:spacing w:beforeLines="0" w:beforeAutospacing="0" w:afterLines="0" w:afterAutospacing="0" w:line="360" w:lineRule="auto"/>
      <w:outlineLvl w:val="3"/>
    </w:pPr>
    <w:rPr>
      <w:rFonts w:ascii="Arial" w:hAnsi="Arial"/>
      <w:b/>
    </w:rPr>
  </w:style>
  <w:style w:type="character" w:default="1" w:styleId="21">
    <w:name w:val="Default Paragraph Font"/>
    <w:semiHidden/>
    <w:qFormat/>
    <w:uiPriority w:val="0"/>
  </w:style>
  <w:style w:type="table" w:default="1" w:styleId="19">
    <w:name w:val="Normal Table"/>
    <w:semiHidden/>
    <w:qFormat/>
    <w:uiPriority w:val="0"/>
    <w:tblPr>
      <w:tblLayout w:type="fixed"/>
      <w:tblCellMar>
        <w:top w:w="0" w:type="dxa"/>
        <w:left w:w="108" w:type="dxa"/>
        <w:bottom w:w="0" w:type="dxa"/>
        <w:right w:w="108" w:type="dxa"/>
      </w:tblCellMar>
    </w:tblPr>
  </w:style>
  <w:style w:type="paragraph" w:styleId="6">
    <w:name w:val="Normal Indent"/>
    <w:basedOn w:val="1"/>
    <w:qFormat/>
    <w:uiPriority w:val="0"/>
    <w:pPr>
      <w:ind w:firstLine="420" w:firstLineChars="200"/>
    </w:pPr>
    <w:rPr>
      <w:szCs w:val="24"/>
    </w:rPr>
  </w:style>
  <w:style w:type="paragraph" w:styleId="7">
    <w:name w:val="annotation text"/>
    <w:basedOn w:val="1"/>
    <w:qFormat/>
    <w:uiPriority w:val="0"/>
    <w:pPr>
      <w:jc w:val="left"/>
    </w:pPr>
  </w:style>
  <w:style w:type="paragraph" w:styleId="8">
    <w:name w:val="Body Text"/>
    <w:basedOn w:val="1"/>
    <w:qFormat/>
    <w:uiPriority w:val="0"/>
    <w:rPr>
      <w:sz w:val="28"/>
    </w:rPr>
  </w:style>
  <w:style w:type="paragraph" w:styleId="9">
    <w:name w:val="Body Text Indent"/>
    <w:basedOn w:val="1"/>
    <w:qFormat/>
    <w:uiPriority w:val="0"/>
    <w:pPr>
      <w:autoSpaceDE w:val="0"/>
      <w:autoSpaceDN w:val="0"/>
      <w:adjustRightInd w:val="0"/>
      <w:spacing w:line="360" w:lineRule="auto"/>
      <w:ind w:firstLine="480" w:firstLineChars="200"/>
    </w:pPr>
    <w:rPr>
      <w:rFonts w:ascii="宋体" w:hAnsi="宋体" w:eastAsia="宋体"/>
      <w:kern w:val="0"/>
      <w:sz w:val="24"/>
      <w:szCs w:val="21"/>
    </w:rPr>
  </w:style>
  <w:style w:type="paragraph" w:styleId="10">
    <w:name w:val="Block Text"/>
    <w:basedOn w:val="1"/>
    <w:qFormat/>
    <w:uiPriority w:val="0"/>
    <w:pPr>
      <w:spacing w:line="500" w:lineRule="exact"/>
      <w:ind w:left="0" w:leftChars="0" w:right="0" w:rightChars="0" w:firstLine="960"/>
      <w:jc w:val="left"/>
    </w:pPr>
    <w:rPr>
      <w:rFonts w:eastAsia="宋体"/>
    </w:rPr>
  </w:style>
  <w:style w:type="paragraph" w:styleId="11">
    <w:name w:val="toc 3"/>
    <w:basedOn w:val="1"/>
    <w:next w:val="1"/>
    <w:qFormat/>
    <w:uiPriority w:val="0"/>
    <w:pPr>
      <w:ind w:left="700" w:leftChars="250"/>
    </w:pPr>
  </w:style>
  <w:style w:type="paragraph" w:styleId="12">
    <w:name w:val="footer"/>
    <w:basedOn w:val="1"/>
    <w:qFormat/>
    <w:uiPriority w:val="0"/>
    <w:pPr>
      <w:tabs>
        <w:tab w:val="center" w:pos="4153"/>
        <w:tab w:val="right" w:pos="8306"/>
      </w:tabs>
      <w:snapToGrid w:val="0"/>
      <w:jc w:val="left"/>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toc 1"/>
    <w:basedOn w:val="1"/>
    <w:next w:val="1"/>
    <w:qFormat/>
    <w:uiPriority w:val="0"/>
    <w:rPr>
      <w:b/>
    </w:rPr>
  </w:style>
  <w:style w:type="paragraph" w:styleId="15">
    <w:name w:val="toc 4"/>
    <w:basedOn w:val="1"/>
    <w:next w:val="1"/>
    <w:qFormat/>
    <w:uiPriority w:val="0"/>
    <w:pPr>
      <w:ind w:left="1260" w:leftChars="450"/>
    </w:pPr>
  </w:style>
  <w:style w:type="paragraph" w:styleId="16">
    <w:name w:val="toc 2"/>
    <w:basedOn w:val="1"/>
    <w:next w:val="1"/>
    <w:qFormat/>
    <w:uiPriority w:val="0"/>
    <w:pPr>
      <w:ind w:left="280" w:leftChars="100"/>
    </w:pPr>
  </w:style>
  <w:style w:type="paragraph" w:styleId="17">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8">
    <w:name w:val="Body Text First Indent 2"/>
    <w:basedOn w:val="9"/>
    <w:qFormat/>
    <w:uiPriority w:val="0"/>
    <w:pPr>
      <w:ind w:firstLine="420" w:firstLineChars="200"/>
    </w:p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22">
    <w:name w:val="Strong"/>
    <w:basedOn w:val="21"/>
    <w:qFormat/>
    <w:uiPriority w:val="0"/>
    <w:rPr>
      <w:rFonts w:ascii="Times New Roman" w:hAnsi="Times New Roman" w:eastAsia="宋体"/>
      <w:b/>
    </w:rPr>
  </w:style>
  <w:style w:type="character" w:styleId="23">
    <w:name w:val="Hyperlink"/>
    <w:basedOn w:val="21"/>
    <w:qFormat/>
    <w:uiPriority w:val="0"/>
    <w:rPr>
      <w:color w:val="0000FF"/>
      <w:u w:val="single"/>
    </w:rPr>
  </w:style>
  <w:style w:type="paragraph" w:customStyle="1" w:styleId="24">
    <w:name w:val="标题4"/>
    <w:basedOn w:val="5"/>
    <w:next w:val="1"/>
    <w:qFormat/>
    <w:uiPriority w:val="0"/>
    <w:pPr>
      <w:spacing w:line="360" w:lineRule="auto"/>
    </w:pPr>
    <w:rPr>
      <w:rFonts w:ascii="Arial" w:hAnsi="Arial" w:eastAsia="仿宋"/>
    </w:rPr>
  </w:style>
  <w:style w:type="paragraph" w:customStyle="1" w:styleId="25">
    <w:name w:val="body text"/>
    <w:basedOn w:val="1"/>
    <w:unhideWhenUsed/>
    <w:qFormat/>
    <w:uiPriority w:val="0"/>
    <w:pPr>
      <w:ind w:left="104"/>
    </w:pPr>
    <w:rPr>
      <w:rFonts w:hint="default"/>
    </w:rPr>
  </w:style>
  <w:style w:type="paragraph" w:customStyle="1" w:styleId="26">
    <w:name w:val="Table Paragraph"/>
    <w:basedOn w:val="1"/>
    <w:unhideWhenUsed/>
    <w:qFormat/>
    <w:uiPriority w:val="99"/>
    <w:pPr>
      <w:autoSpaceDE w:val="0"/>
      <w:autoSpaceDN w:val="0"/>
      <w:jc w:val="left"/>
    </w:pPr>
    <w:rPr>
      <w:rFonts w:hint="eastAsia" w:ascii="Times New Roman" w:hAnsi="Times New Roman"/>
      <w:kern w:val="0"/>
      <w:sz w:val="24"/>
      <w:szCs w:val="20"/>
    </w:rPr>
  </w:style>
  <w:style w:type="paragraph" w:customStyle="1" w:styleId="27">
    <w:name w:val="表格"/>
    <w:basedOn w:val="1"/>
    <w:qFormat/>
    <w:uiPriority w:val="0"/>
    <w:pPr>
      <w:spacing w:line="400" w:lineRule="exact"/>
      <w:ind w:firstLine="0" w:firstLineChars="0"/>
    </w:pPr>
    <w:rPr>
      <w:sz w:val="21"/>
      <w:szCs w:val="32"/>
    </w:rPr>
  </w:style>
  <w:style w:type="paragraph" w:customStyle="1" w:styleId="28">
    <w:name w:val="制表"/>
    <w:basedOn w:val="1"/>
    <w:qFormat/>
    <w:uiPriority w:val="0"/>
    <w:pPr>
      <w:spacing w:line="240" w:lineRule="auto"/>
      <w:ind w:firstLine="0" w:firstLineChars="0"/>
      <w:jc w:val="center"/>
    </w:pPr>
    <w:rPr>
      <w:kern w:val="44"/>
      <w:sz w:val="20"/>
    </w:rPr>
  </w:style>
  <w:style w:type="paragraph" w:customStyle="1" w:styleId="29">
    <w:name w:val="No Spacing"/>
    <w:basedOn w:val="1"/>
    <w:next w:val="1"/>
    <w:qFormat/>
    <w:uiPriority w:val="1"/>
    <w:pPr>
      <w:adjustRightInd w:val="0"/>
      <w:snapToGrid w:val="0"/>
      <w:spacing w:line="240" w:lineRule="auto"/>
      <w:ind w:firstLine="0" w:firstLineChars="0"/>
      <w:jc w:val="center"/>
    </w:pPr>
    <w:rPr>
      <w:rFonts w:cs="Times New Roman"/>
      <w:sz w:val="21"/>
    </w:rPr>
  </w:style>
  <w:style w:type="paragraph" w:styleId="30">
    <w:name w:val="List Paragraph"/>
    <w:basedOn w:val="1"/>
    <w:qFormat/>
    <w:uiPriority w:val="34"/>
    <w:pPr>
      <w:widowControl/>
      <w:ind w:firstLine="420" w:firstLineChars="200"/>
      <w:jc w:val="left"/>
    </w:pPr>
    <w:rPr>
      <w:rFonts w:ascii="宋体" w:hAnsi="宋体" w:cs="宋体"/>
      <w:kern w:val="0"/>
      <w:sz w:val="24"/>
    </w:rPr>
  </w:style>
  <w:style w:type="paragraph" w:customStyle="1" w:styleId="31">
    <w:name w:val="标3"/>
    <w:basedOn w:val="1"/>
    <w:qFormat/>
    <w:uiPriority w:val="0"/>
    <w:pPr>
      <w:adjustRightInd w:val="0"/>
      <w:snapToGrid w:val="0"/>
      <w:spacing w:line="360" w:lineRule="auto"/>
      <w:ind w:firstLine="200" w:firstLineChars="200"/>
    </w:pPr>
    <w:rPr>
      <w:b/>
      <w:b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wmf"/><Relationship Id="rId8" Type="http://schemas.openxmlformats.org/officeDocument/2006/relationships/oleObject" Target="embeddings/oleObject1.bin"/><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42</Pages>
  <Words>13030</Words>
  <Characters>14601</Characters>
  <Lines>0</Lines>
  <Paragraphs>0</Paragraphs>
  <TotalTime>6</TotalTime>
  <ScaleCrop>false</ScaleCrop>
  <LinksUpToDate>false</LinksUpToDate>
  <CharactersWithSpaces>14970</CharactersWithSpaces>
  <Application>WPS Office_11.1.0.8894_F1E327BC-269C-435d-A152-05C5408002CA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2017-08-02T01:43:00Z</dcterms:created>
  <dc:creator>Administrator</dc:creator>
  <cp:lastModifiedBy>陈磊</cp:lastModifiedBy>
  <dcterms:modified xsi:type="dcterms:W3CDTF">2019-08-06T06:55:29Z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2052-11.1.0.8894</vt:lpwstr>
  </property>
</Properties>
</file>