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exact"/>
        <w:jc w:val="center"/>
        <w:rPr>
          <w:rFonts w:ascii="宋体" w:cs="宋体"/>
          <w:b/>
          <w:bCs/>
          <w:sz w:val="15"/>
          <w:szCs w:val="15"/>
        </w:rPr>
      </w:pPr>
      <w:r>
        <w:rPr>
          <w:rFonts w:hint="eastAsia" w:ascii="宋体" w:hAnsi="宋体" w:cs="宋体"/>
          <w:b/>
          <w:bCs/>
          <w:sz w:val="44"/>
          <w:szCs w:val="44"/>
        </w:rPr>
        <w:t>突发环境事件应急预案评审意见表</w:t>
      </w:r>
    </w:p>
    <w:tbl>
      <w:tblPr>
        <w:tblStyle w:val="6"/>
        <w:tblW w:w="895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8956" w:type="dxa"/>
            <w:tcBorders>
              <w:top w:val="single" w:color="auto" w:sz="8" w:space="0"/>
            </w:tcBorders>
            <w:vAlign w:val="center"/>
          </w:tcPr>
          <w:p>
            <w:pPr>
              <w:adjustRightInd w:val="0"/>
              <w:snapToGrid w:val="0"/>
              <w:jc w:val="left"/>
              <w:rPr>
                <w:rFonts w:ascii="宋体"/>
                <w:sz w:val="21"/>
                <w:szCs w:val="21"/>
                <w:u w:val="single"/>
              </w:rPr>
            </w:pPr>
            <w:r>
              <w:rPr>
                <w:rFonts w:hint="eastAsia" w:ascii="宋体" w:hAnsi="宋体"/>
                <w:sz w:val="21"/>
                <w:szCs w:val="21"/>
              </w:rPr>
              <w:t>评审时间</w:t>
            </w:r>
            <w:r>
              <w:rPr>
                <w:rFonts w:hint="eastAsia" w:ascii="宋体" w:hAnsi="宋体"/>
                <w:sz w:val="21"/>
                <w:szCs w:val="21"/>
                <w:u w:val="single"/>
              </w:rPr>
              <w:t xml:space="preserve">：                </w:t>
            </w:r>
            <w:r>
              <w:rPr>
                <w:rFonts w:hint="eastAsia" w:ascii="宋体" w:hAnsi="宋体"/>
                <w:sz w:val="21"/>
                <w:szCs w:val="21"/>
              </w:rPr>
              <w:t xml:space="preserve">地点：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8956" w:type="dxa"/>
            <w:vAlign w:val="center"/>
          </w:tcPr>
          <w:p>
            <w:pPr>
              <w:adjustRightInd w:val="0"/>
              <w:snapToGrid w:val="0"/>
              <w:rPr>
                <w:rFonts w:ascii="宋体"/>
                <w:sz w:val="21"/>
                <w:szCs w:val="21"/>
              </w:rPr>
            </w:pPr>
            <w:r>
              <w:rPr>
                <w:rFonts w:hint="eastAsia" w:ascii="宋体" w:hAnsi="宋体"/>
                <w:sz w:val="21"/>
                <w:szCs w:val="21"/>
              </w:rPr>
              <w:t>评审方式：□函审，□会议评审，</w:t>
            </w:r>
            <w:r>
              <w:rPr>
                <w:rFonts w:hint="eastAsia" w:ascii="宋体" w:hAnsi="MS Mincho" w:eastAsia="MS Mincho" w:cs="MS Mincho"/>
                <w:sz w:val="21"/>
                <w:szCs w:val="21"/>
              </w:rPr>
              <w:t>☑</w:t>
            </w:r>
            <w:r>
              <w:rPr>
                <w:rFonts w:hint="eastAsia" w:ascii="宋体" w:hAnsi="宋体"/>
                <w:sz w:val="21"/>
                <w:szCs w:val="21"/>
              </w:rPr>
              <w:t>函审、会议评审结合，□其他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8956" w:type="dxa"/>
            <w:vAlign w:val="center"/>
          </w:tcPr>
          <w:p>
            <w:pPr>
              <w:adjustRightInd w:val="0"/>
              <w:snapToGrid w:val="0"/>
              <w:rPr>
                <w:rFonts w:ascii="宋体"/>
                <w:sz w:val="21"/>
                <w:szCs w:val="21"/>
              </w:rPr>
            </w:pPr>
            <w:r>
              <w:rPr>
                <w:rFonts w:hint="eastAsia" w:ascii="宋体" w:hAnsi="宋体"/>
                <w:sz w:val="21"/>
                <w:szCs w:val="21"/>
              </w:rPr>
              <w:t>评审结论：□通过评审，</w:t>
            </w:r>
            <w:r>
              <w:rPr>
                <w:rFonts w:hint="eastAsia" w:ascii="宋体" w:hAnsi="MS Mincho" w:eastAsia="MS Mincho" w:cs="MS Mincho"/>
                <w:sz w:val="21"/>
                <w:szCs w:val="21"/>
              </w:rPr>
              <w:t>☑</w:t>
            </w:r>
            <w:r>
              <w:rPr>
                <w:rFonts w:hint="eastAsia" w:ascii="宋体" w:hAnsi="宋体"/>
                <w:sz w:val="21"/>
                <w:szCs w:val="21"/>
              </w:rPr>
              <w:t>原则通过但需进行修改复核，□未通过评审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trPr>
        <w:tc>
          <w:tcPr>
            <w:tcW w:w="8956" w:type="dxa"/>
            <w:vAlign w:val="center"/>
          </w:tcPr>
          <w:p>
            <w:pPr>
              <w:adjustRightInd w:val="0"/>
              <w:snapToGrid w:val="0"/>
              <w:spacing w:line="400" w:lineRule="exact"/>
              <w:rPr>
                <w:rFonts w:ascii="宋体"/>
                <w:sz w:val="21"/>
                <w:szCs w:val="21"/>
              </w:rPr>
            </w:pPr>
            <w:r>
              <w:rPr>
                <w:rFonts w:hint="eastAsia" w:ascii="宋体" w:hAnsi="宋体"/>
                <w:sz w:val="21"/>
                <w:szCs w:val="21"/>
              </w:rPr>
              <w:t>评审过程：</w:t>
            </w:r>
          </w:p>
          <w:p>
            <w:pPr>
              <w:spacing w:line="400" w:lineRule="exact"/>
              <w:ind w:firstLine="420" w:firstLineChars="200"/>
              <w:jc w:val="left"/>
              <w:rPr>
                <w:rFonts w:ascii="宋体"/>
                <w:sz w:val="21"/>
                <w:szCs w:val="21"/>
              </w:rPr>
            </w:pPr>
            <w:r>
              <w:rPr>
                <w:rFonts w:hint="eastAsia" w:ascii="宋体" w:hAnsi="宋体"/>
                <w:sz w:val="21"/>
                <w:szCs w:val="21"/>
              </w:rPr>
              <w:t>《</w:t>
            </w:r>
            <w:r>
              <w:rPr>
                <w:rFonts w:hint="eastAsia" w:ascii="宋体" w:hAnsi="宋体"/>
                <w:sz w:val="21"/>
                <w:szCs w:val="21"/>
                <w:lang w:eastAsia="zh-CN"/>
              </w:rPr>
              <w:t>咸阳市秦都区宏达建材厂</w:t>
            </w:r>
            <w:r>
              <w:rPr>
                <w:rFonts w:hint="eastAsia" w:ascii="宋体" w:hAnsi="宋体"/>
                <w:sz w:val="21"/>
                <w:szCs w:val="21"/>
              </w:rPr>
              <w:t>突发环境事件应急预案》编制单位分别邀请三位应急管理专家对该预案进行了函审，三位专家在详细查看编制方提供的各项资料后就本预案分别提出了修改意见和建议。</w:t>
            </w:r>
          </w:p>
          <w:p>
            <w:pPr>
              <w:adjustRightInd w:val="0"/>
              <w:snapToGrid w:val="0"/>
              <w:spacing w:line="400" w:lineRule="exact"/>
              <w:rPr>
                <w:rFonts w:ascii="宋体"/>
                <w:sz w:val="21"/>
                <w:szCs w:val="21"/>
              </w:rPr>
            </w:pPr>
            <w:r>
              <w:rPr>
                <w:rFonts w:hint="eastAsia" w:ascii="宋体" w:hAnsi="宋体"/>
                <w:sz w:val="21"/>
                <w:szCs w:val="21"/>
              </w:rPr>
              <w:t>总体评价：</w:t>
            </w:r>
          </w:p>
          <w:p>
            <w:pPr>
              <w:adjustRightInd w:val="0"/>
              <w:snapToGrid w:val="0"/>
              <w:spacing w:line="400" w:lineRule="exact"/>
              <w:ind w:firstLine="525" w:firstLineChars="250"/>
              <w:rPr>
                <w:rFonts w:ascii="宋体"/>
                <w:sz w:val="21"/>
                <w:szCs w:val="21"/>
              </w:rPr>
            </w:pPr>
            <w:r>
              <w:rPr>
                <w:rFonts w:hint="eastAsia" w:ascii="宋体" w:hAnsi="宋体"/>
                <w:sz w:val="21"/>
                <w:szCs w:val="21"/>
              </w:rPr>
              <w:t>该预案章节结构齐全，格式规范，文字简洁，能认真梳理本单位实际存在的各个环境风险源，针对本单位的实际情况，制定的针对各个环境风险源的应急响应及处理处置措施也比较切实可行，原则同意本突发环境事件应急预案通过评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trPr>
        <w:tc>
          <w:tcPr>
            <w:tcW w:w="8956" w:type="dxa"/>
            <w:vAlign w:val="center"/>
          </w:tcPr>
          <w:p>
            <w:pPr>
              <w:spacing w:line="340" w:lineRule="exact"/>
              <w:rPr>
                <w:rFonts w:ascii="宋体"/>
                <w:sz w:val="21"/>
                <w:szCs w:val="21"/>
              </w:rPr>
            </w:pPr>
            <w:r>
              <w:rPr>
                <w:rFonts w:hint="eastAsia" w:ascii="宋体" w:hAnsi="宋体"/>
                <w:sz w:val="21"/>
                <w:szCs w:val="21"/>
              </w:rPr>
              <w:t>问题清单：</w:t>
            </w:r>
          </w:p>
          <w:p>
            <w:pPr>
              <w:spacing w:line="340" w:lineRule="exact"/>
              <w:rPr>
                <w:rFonts w:ascii="宋体"/>
                <w:sz w:val="21"/>
                <w:szCs w:val="21"/>
              </w:rPr>
            </w:pPr>
            <w:r>
              <w:rPr>
                <w:rFonts w:ascii="宋体" w:hAnsi="宋体"/>
                <w:sz w:val="21"/>
                <w:szCs w:val="21"/>
              </w:rPr>
              <w:t>1</w:t>
            </w:r>
            <w:r>
              <w:rPr>
                <w:rFonts w:hint="eastAsia" w:ascii="宋体" w:hAnsi="宋体"/>
                <w:sz w:val="21"/>
                <w:szCs w:val="21"/>
              </w:rPr>
              <w:t>、事件分级的依据不清楚。</w:t>
            </w:r>
          </w:p>
          <w:p>
            <w:pPr>
              <w:spacing w:line="340" w:lineRule="exact"/>
              <w:rPr>
                <w:rFonts w:ascii="宋体"/>
                <w:sz w:val="21"/>
                <w:szCs w:val="21"/>
              </w:rPr>
            </w:pPr>
            <w:r>
              <w:rPr>
                <w:rFonts w:ascii="宋体" w:hAnsi="宋体"/>
                <w:sz w:val="21"/>
                <w:szCs w:val="21"/>
              </w:rPr>
              <w:t>2</w:t>
            </w:r>
            <w:r>
              <w:rPr>
                <w:rFonts w:hint="eastAsia" w:ascii="宋体" w:hAnsi="宋体"/>
                <w:sz w:val="21"/>
                <w:szCs w:val="21"/>
              </w:rPr>
              <w:t>、企业基本概况内容缺失比较多。</w:t>
            </w:r>
          </w:p>
          <w:p>
            <w:pPr>
              <w:spacing w:line="340" w:lineRule="exact"/>
              <w:rPr>
                <w:rFonts w:ascii="宋体"/>
                <w:sz w:val="21"/>
                <w:szCs w:val="21"/>
              </w:rPr>
            </w:pPr>
            <w:r>
              <w:rPr>
                <w:rFonts w:ascii="宋体" w:hAnsi="宋体"/>
                <w:sz w:val="21"/>
                <w:szCs w:val="21"/>
              </w:rPr>
              <w:t>3</w:t>
            </w:r>
            <w:r>
              <w:rPr>
                <w:rFonts w:hint="eastAsia" w:ascii="宋体" w:hAnsi="宋体"/>
                <w:sz w:val="21"/>
                <w:szCs w:val="21"/>
              </w:rPr>
              <w:t>、各个应急职能小组的工作职责有待进一步细化。</w:t>
            </w:r>
          </w:p>
          <w:p>
            <w:pPr>
              <w:spacing w:line="340" w:lineRule="exact"/>
              <w:rPr>
                <w:rFonts w:ascii="宋体"/>
                <w:sz w:val="21"/>
                <w:szCs w:val="21"/>
              </w:rPr>
            </w:pPr>
            <w:r>
              <w:rPr>
                <w:rFonts w:ascii="宋体" w:hAnsi="宋体"/>
                <w:sz w:val="21"/>
                <w:szCs w:val="21"/>
              </w:rPr>
              <w:t>4</w:t>
            </w:r>
            <w:r>
              <w:rPr>
                <w:rFonts w:hint="eastAsia" w:ascii="宋体" w:hAnsi="宋体"/>
                <w:sz w:val="21"/>
                <w:szCs w:val="21"/>
              </w:rPr>
              <w:t>、缺失针对每一级预警的预警准备的内容。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04" w:hRule="atLeast"/>
        </w:trPr>
        <w:tc>
          <w:tcPr>
            <w:tcW w:w="8956" w:type="dxa"/>
            <w:vAlign w:val="center"/>
          </w:tcPr>
          <w:p>
            <w:pPr>
              <w:adjustRightInd w:val="0"/>
              <w:snapToGrid w:val="0"/>
              <w:spacing w:line="400" w:lineRule="exact"/>
              <w:rPr>
                <w:rFonts w:ascii="宋体"/>
                <w:sz w:val="21"/>
                <w:szCs w:val="21"/>
              </w:rPr>
            </w:pPr>
            <w:r>
              <w:rPr>
                <w:rFonts w:hint="eastAsia" w:ascii="宋体" w:hAnsi="宋体"/>
                <w:sz w:val="21"/>
                <w:szCs w:val="21"/>
              </w:rPr>
              <w:t>修改意见和建议：</w:t>
            </w:r>
          </w:p>
          <w:p>
            <w:pPr>
              <w:spacing w:line="340" w:lineRule="exact"/>
              <w:rPr>
                <w:rFonts w:ascii="宋体"/>
                <w:sz w:val="21"/>
                <w:szCs w:val="21"/>
              </w:rPr>
            </w:pPr>
            <w:r>
              <w:rPr>
                <w:rFonts w:ascii="宋体" w:hAnsi="宋体"/>
                <w:sz w:val="21"/>
                <w:szCs w:val="21"/>
              </w:rPr>
              <w:t>1</w:t>
            </w:r>
            <w:r>
              <w:rPr>
                <w:rFonts w:hint="eastAsia" w:ascii="宋体" w:hAnsi="宋体"/>
                <w:sz w:val="21"/>
                <w:szCs w:val="21"/>
              </w:rPr>
              <w:t>、请补充完善编制依据。</w:t>
            </w:r>
          </w:p>
          <w:p>
            <w:pPr>
              <w:spacing w:line="340" w:lineRule="exact"/>
              <w:rPr>
                <w:rFonts w:ascii="宋体"/>
                <w:sz w:val="21"/>
                <w:szCs w:val="21"/>
              </w:rPr>
            </w:pPr>
            <w:r>
              <w:rPr>
                <w:rFonts w:ascii="宋体" w:hAnsi="宋体"/>
                <w:sz w:val="21"/>
                <w:szCs w:val="21"/>
              </w:rPr>
              <w:t>2</w:t>
            </w:r>
            <w:r>
              <w:rPr>
                <w:rFonts w:hint="eastAsia" w:ascii="宋体" w:hAnsi="宋体"/>
                <w:sz w:val="21"/>
                <w:szCs w:val="21"/>
              </w:rPr>
              <w:t>、写明事件分级的依据，事件分级应按照国家的统一标准，所以请修改事件分级，应该参照《国家突发环境事件应急预案》的相关内容进行修改。</w:t>
            </w:r>
          </w:p>
          <w:p>
            <w:pPr>
              <w:spacing w:line="340" w:lineRule="exact"/>
              <w:rPr>
                <w:rFonts w:ascii="宋体"/>
                <w:sz w:val="21"/>
                <w:szCs w:val="21"/>
              </w:rPr>
            </w:pPr>
            <w:r>
              <w:rPr>
                <w:rFonts w:hint="eastAsia" w:ascii="宋体" w:hAnsi="宋体"/>
                <w:sz w:val="21"/>
                <w:szCs w:val="21"/>
              </w:rPr>
              <w:t>3、应按照《企业突发环境事件隐患排查和治理工作指南》的要求，补充完善第五章“环境风险防范措施”的相关内容。</w:t>
            </w:r>
          </w:p>
          <w:p>
            <w:pPr>
              <w:spacing w:line="340" w:lineRule="exact"/>
              <w:rPr>
                <w:rFonts w:ascii="宋体"/>
                <w:sz w:val="21"/>
                <w:szCs w:val="21"/>
              </w:rPr>
            </w:pPr>
            <w:r>
              <w:rPr>
                <w:rFonts w:hint="eastAsia" w:ascii="宋体" w:hAnsi="宋体"/>
                <w:sz w:val="21"/>
                <w:szCs w:val="21"/>
              </w:rPr>
              <w:t>4、应分别针对每一级预警都要写明预警准备的内容。</w:t>
            </w:r>
          </w:p>
          <w:p>
            <w:pPr>
              <w:spacing w:line="340" w:lineRule="exact"/>
              <w:rPr>
                <w:rFonts w:ascii="宋体"/>
                <w:sz w:val="21"/>
                <w:szCs w:val="21"/>
              </w:rPr>
            </w:pPr>
            <w:r>
              <w:rPr>
                <w:rFonts w:hint="eastAsia" w:ascii="宋体" w:hAnsi="宋体"/>
                <w:sz w:val="21"/>
                <w:szCs w:val="21"/>
              </w:rPr>
              <w:t>5、说明预案的衔接关系，并以图表。</w:t>
            </w:r>
          </w:p>
          <w:p>
            <w:pPr>
              <w:spacing w:line="340" w:lineRule="exact"/>
              <w:rPr>
                <w:rFonts w:ascii="宋体"/>
                <w:sz w:val="21"/>
                <w:szCs w:val="21"/>
              </w:rPr>
            </w:pPr>
            <w:r>
              <w:rPr>
                <w:rFonts w:hint="eastAsia" w:ascii="宋体" w:hAnsi="宋体"/>
                <w:sz w:val="21"/>
                <w:szCs w:val="21"/>
              </w:rPr>
              <w:t>6、预案中应对建设应急池提出明确要求，并能满足最大可信事故的要求。</w:t>
            </w:r>
          </w:p>
          <w:p>
            <w:pPr>
              <w:spacing w:line="340" w:lineRule="exact"/>
              <w:ind w:firstLine="525" w:firstLineChars="250"/>
              <w:rPr>
                <w:rFonts w:ascii="宋体"/>
                <w:sz w:val="21"/>
                <w:szCs w:val="21"/>
              </w:rPr>
            </w:pPr>
            <w:r>
              <w:rPr>
                <w:rFonts w:hint="eastAsia" w:ascii="宋体" w:hAnsi="宋体"/>
                <w:sz w:val="21"/>
                <w:szCs w:val="21"/>
              </w:rPr>
              <w:t>结合专家提出的其他意见修改完善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609" w:hRule="atLeast"/>
        </w:trPr>
        <w:tc>
          <w:tcPr>
            <w:tcW w:w="8956" w:type="dxa"/>
            <w:tcBorders>
              <w:bottom w:val="single" w:color="auto" w:sz="8" w:space="0"/>
            </w:tcBorders>
            <w:vAlign w:val="center"/>
          </w:tcPr>
          <w:p>
            <w:pPr>
              <w:adjustRightInd w:val="0"/>
              <w:snapToGrid w:val="0"/>
              <w:spacing w:line="360" w:lineRule="auto"/>
              <w:rPr>
                <w:rFonts w:ascii="宋体"/>
                <w:sz w:val="21"/>
                <w:szCs w:val="21"/>
              </w:rPr>
            </w:pPr>
            <w:r>
              <w:rPr>
                <w:rFonts w:hint="eastAsia" w:ascii="宋体" w:hAnsi="宋体"/>
                <w:sz w:val="21"/>
                <w:szCs w:val="21"/>
              </w:rPr>
              <w:t>评审人员人数</w:t>
            </w:r>
            <w:r>
              <w:rPr>
                <w:rFonts w:hint="default" w:ascii="Times New Roman" w:hAnsi="Times New Roman" w:cs="Times New Roman"/>
                <w:sz w:val="21"/>
                <w:szCs w:val="21"/>
              </w:rPr>
              <w:t>：3 人</w:t>
            </w:r>
          </w:p>
          <w:p>
            <w:pPr>
              <w:adjustRightInd w:val="0"/>
              <w:snapToGrid w:val="0"/>
              <w:spacing w:line="360" w:lineRule="auto"/>
              <w:rPr>
                <w:rFonts w:ascii="宋体"/>
                <w:sz w:val="21"/>
                <w:szCs w:val="21"/>
              </w:rPr>
            </w:pPr>
            <w:r>
              <w:rPr>
                <w:rFonts w:hint="eastAsia" w:ascii="宋体" w:hAnsi="宋体"/>
                <w:sz w:val="21"/>
                <w:szCs w:val="21"/>
              </w:rPr>
              <w:t>评审组长签字：</w:t>
            </w:r>
          </w:p>
          <w:p>
            <w:pPr>
              <w:adjustRightInd w:val="0"/>
              <w:snapToGrid w:val="0"/>
              <w:spacing w:line="360" w:lineRule="auto"/>
              <w:rPr>
                <w:rFonts w:ascii="宋体"/>
                <w:sz w:val="21"/>
                <w:szCs w:val="21"/>
              </w:rPr>
            </w:pPr>
            <w:r>
              <w:rPr>
                <w:rFonts w:hint="eastAsia" w:ascii="宋体" w:hAnsi="宋体"/>
                <w:sz w:val="21"/>
                <w:szCs w:val="21"/>
              </w:rPr>
              <w:t>其他评审人员签字：</w:t>
            </w:r>
          </w:p>
          <w:p>
            <w:pPr>
              <w:adjustRightInd w:val="0"/>
              <w:snapToGrid w:val="0"/>
              <w:spacing w:line="360" w:lineRule="auto"/>
              <w:rPr>
                <w:rFonts w:hint="eastAsia" w:ascii="宋体" w:hAnsi="宋体"/>
                <w:sz w:val="21"/>
                <w:szCs w:val="21"/>
              </w:rPr>
            </w:pPr>
            <w:r>
              <w:rPr>
                <w:rFonts w:hint="eastAsia" w:ascii="宋体" w:hAnsi="宋体"/>
                <w:sz w:val="21"/>
                <w:szCs w:val="21"/>
              </w:rPr>
              <w:t>企业负责人签字：</w:t>
            </w:r>
            <w:bookmarkStart w:id="0" w:name="_GoBack"/>
            <w:bookmarkEnd w:id="0"/>
          </w:p>
          <w:p>
            <w:pPr>
              <w:adjustRightInd w:val="0"/>
              <w:snapToGrid w:val="0"/>
              <w:spacing w:line="360" w:lineRule="auto"/>
              <w:jc w:val="right"/>
              <w:rPr>
                <w:rFonts w:ascii="宋体"/>
                <w:sz w:val="21"/>
                <w:szCs w:val="21"/>
              </w:rPr>
            </w:pPr>
            <w:r>
              <w:rPr>
                <w:rFonts w:hint="eastAsia" w:ascii="宋体" w:hAnsi="宋体"/>
                <w:sz w:val="21"/>
                <w:szCs w:val="21"/>
              </w:rPr>
              <w:t>年</w:t>
            </w:r>
            <w:r>
              <w:rPr>
                <w:rFonts w:ascii="宋体" w:hAnsi="宋体"/>
                <w:sz w:val="21"/>
                <w:szCs w:val="21"/>
              </w:rPr>
              <w:t xml:space="preserve">         </w:t>
            </w:r>
            <w:r>
              <w:rPr>
                <w:rFonts w:hint="eastAsia" w:ascii="宋体" w:hAnsi="宋体"/>
                <w:sz w:val="21"/>
                <w:szCs w:val="21"/>
              </w:rPr>
              <w:t>月</w:t>
            </w:r>
            <w:r>
              <w:rPr>
                <w:rFonts w:ascii="宋体" w:hAnsi="宋体"/>
                <w:sz w:val="21"/>
                <w:szCs w:val="21"/>
              </w:rPr>
              <w:t xml:space="preserve">         </w:t>
            </w:r>
            <w:r>
              <w:rPr>
                <w:rFonts w:hint="eastAsia" w:ascii="宋体" w:hAnsi="宋体"/>
                <w:sz w:val="21"/>
                <w:szCs w:val="21"/>
              </w:rPr>
              <w:t>日</w:t>
            </w:r>
          </w:p>
        </w:tc>
      </w:tr>
    </w:tbl>
    <w:p>
      <w:pPr>
        <w:adjustRightInd w:val="0"/>
        <w:snapToGrid w:val="0"/>
        <w:spacing w:before="156" w:beforeLines="50"/>
        <w:rPr>
          <w:rFonts w:ascii="宋体"/>
          <w:sz w:val="21"/>
          <w:szCs w:val="21"/>
        </w:rPr>
      </w:pPr>
    </w:p>
    <w:sectPr>
      <w:footerReference r:id="rId3" w:type="default"/>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MS Mincho">
    <w:altName w:val="Segoe UI"/>
    <w:panose1 w:val="02020609040205080304"/>
    <w:charset w:val="80"/>
    <w:family w:val="modern"/>
    <w:pitch w:val="default"/>
    <w:sig w:usb0="00000000" w:usb1="00000000" w:usb2="00000012" w:usb3="00000000" w:csb0="4002009F" w:csb1="DFD70000"/>
  </w:font>
  <w:font w:name="Segoe UI">
    <w:panose1 w:val="020B0502040204020203"/>
    <w:charset w:val="80"/>
    <w:family w:val="modern"/>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Fonts w:ascii="宋体"/>
        <w:sz w:val="28"/>
        <w:szCs w:val="28"/>
      </w:rPr>
    </w:pPr>
    <w:r>
      <w:rPr>
        <w:rStyle w:val="8"/>
        <w:rFonts w:ascii="宋体" w:hAnsi="宋体"/>
        <w:sz w:val="28"/>
        <w:szCs w:val="28"/>
      </w:rPr>
      <w:t>—</w:t>
    </w:r>
    <w:r>
      <w:rPr>
        <w:rStyle w:val="8"/>
        <w:rFonts w:ascii="宋体" w:hAnsi="宋体"/>
        <w:sz w:val="26"/>
        <w:szCs w:val="26"/>
      </w:rPr>
      <w:fldChar w:fldCharType="begin"/>
    </w:r>
    <w:r>
      <w:rPr>
        <w:rStyle w:val="8"/>
        <w:rFonts w:ascii="宋体" w:hAnsi="宋体"/>
        <w:sz w:val="26"/>
        <w:szCs w:val="26"/>
      </w:rPr>
      <w:instrText xml:space="preserve">PAGE  </w:instrText>
    </w:r>
    <w:r>
      <w:rPr>
        <w:rStyle w:val="8"/>
        <w:rFonts w:ascii="宋体" w:hAnsi="宋体"/>
        <w:sz w:val="26"/>
        <w:szCs w:val="26"/>
      </w:rPr>
      <w:fldChar w:fldCharType="separate"/>
    </w:r>
    <w:r>
      <w:rPr>
        <w:rStyle w:val="8"/>
        <w:rFonts w:ascii="宋体" w:hAnsi="宋体"/>
        <w:sz w:val="26"/>
        <w:szCs w:val="26"/>
      </w:rPr>
      <w:t>1</w:t>
    </w:r>
    <w:r>
      <w:rPr>
        <w:rStyle w:val="8"/>
        <w:rFonts w:ascii="宋体" w:hAnsi="宋体"/>
        <w:sz w:val="26"/>
        <w:szCs w:val="26"/>
      </w:rPr>
      <w:fldChar w:fldCharType="end"/>
    </w:r>
    <w:r>
      <w:rPr>
        <w:rStyle w:val="8"/>
        <w:rFonts w:ascii="宋体" w:hAnsi="宋体"/>
        <w:sz w:val="28"/>
        <w:szCs w:val="28"/>
      </w:rPr>
      <w:t>—</w:t>
    </w:r>
  </w:p>
  <w:p>
    <w:pPr>
      <w:pStyle w:val="4"/>
      <w:ind w:right="360" w:firstLine="360"/>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18F58A0"/>
    <w:rsid w:val="00003E8B"/>
    <w:rsid w:val="00011CDD"/>
    <w:rsid w:val="00030889"/>
    <w:rsid w:val="00054769"/>
    <w:rsid w:val="00086AAA"/>
    <w:rsid w:val="000F6722"/>
    <w:rsid w:val="00113E43"/>
    <w:rsid w:val="00117A96"/>
    <w:rsid w:val="00163B30"/>
    <w:rsid w:val="00172597"/>
    <w:rsid w:val="001771D3"/>
    <w:rsid w:val="00196E81"/>
    <w:rsid w:val="001E67B2"/>
    <w:rsid w:val="001F1787"/>
    <w:rsid w:val="002011E4"/>
    <w:rsid w:val="00201BD3"/>
    <w:rsid w:val="002072D9"/>
    <w:rsid w:val="00215CCE"/>
    <w:rsid w:val="00216F2A"/>
    <w:rsid w:val="00246E7D"/>
    <w:rsid w:val="00256E22"/>
    <w:rsid w:val="002907A7"/>
    <w:rsid w:val="002C2357"/>
    <w:rsid w:val="002D6BF8"/>
    <w:rsid w:val="002E2695"/>
    <w:rsid w:val="002F6646"/>
    <w:rsid w:val="00303083"/>
    <w:rsid w:val="003237FE"/>
    <w:rsid w:val="003723E6"/>
    <w:rsid w:val="00393B02"/>
    <w:rsid w:val="003C7999"/>
    <w:rsid w:val="003F3936"/>
    <w:rsid w:val="003F77DE"/>
    <w:rsid w:val="00407C5A"/>
    <w:rsid w:val="00413908"/>
    <w:rsid w:val="004146B3"/>
    <w:rsid w:val="0043652E"/>
    <w:rsid w:val="00474DE9"/>
    <w:rsid w:val="00482A20"/>
    <w:rsid w:val="00484037"/>
    <w:rsid w:val="004B434F"/>
    <w:rsid w:val="004B6681"/>
    <w:rsid w:val="004E54B6"/>
    <w:rsid w:val="004F2571"/>
    <w:rsid w:val="0053476C"/>
    <w:rsid w:val="00554645"/>
    <w:rsid w:val="00562644"/>
    <w:rsid w:val="00564491"/>
    <w:rsid w:val="00593523"/>
    <w:rsid w:val="005B2908"/>
    <w:rsid w:val="005B59C3"/>
    <w:rsid w:val="005E5724"/>
    <w:rsid w:val="005F352B"/>
    <w:rsid w:val="00625B6C"/>
    <w:rsid w:val="00645B1C"/>
    <w:rsid w:val="006540DE"/>
    <w:rsid w:val="00690D2B"/>
    <w:rsid w:val="006A5594"/>
    <w:rsid w:val="006D0D65"/>
    <w:rsid w:val="006E0CBC"/>
    <w:rsid w:val="006E25EE"/>
    <w:rsid w:val="006F5895"/>
    <w:rsid w:val="007552A6"/>
    <w:rsid w:val="00770963"/>
    <w:rsid w:val="007824BF"/>
    <w:rsid w:val="007C0F01"/>
    <w:rsid w:val="007C6595"/>
    <w:rsid w:val="007D6BC0"/>
    <w:rsid w:val="007E68FE"/>
    <w:rsid w:val="007F6CDF"/>
    <w:rsid w:val="008117BF"/>
    <w:rsid w:val="0081318B"/>
    <w:rsid w:val="00815911"/>
    <w:rsid w:val="00821CD9"/>
    <w:rsid w:val="00864456"/>
    <w:rsid w:val="00877AF6"/>
    <w:rsid w:val="008A46A5"/>
    <w:rsid w:val="008E5496"/>
    <w:rsid w:val="008F5B4E"/>
    <w:rsid w:val="00907FE7"/>
    <w:rsid w:val="009D077F"/>
    <w:rsid w:val="00A51910"/>
    <w:rsid w:val="00AA1642"/>
    <w:rsid w:val="00AB7E7C"/>
    <w:rsid w:val="00AE4964"/>
    <w:rsid w:val="00AF6294"/>
    <w:rsid w:val="00B30EFA"/>
    <w:rsid w:val="00B6592C"/>
    <w:rsid w:val="00B74953"/>
    <w:rsid w:val="00B8317F"/>
    <w:rsid w:val="00B96616"/>
    <w:rsid w:val="00BD7B92"/>
    <w:rsid w:val="00C06B75"/>
    <w:rsid w:val="00C2230A"/>
    <w:rsid w:val="00C24FE7"/>
    <w:rsid w:val="00C42F85"/>
    <w:rsid w:val="00C63915"/>
    <w:rsid w:val="00C813DB"/>
    <w:rsid w:val="00C85964"/>
    <w:rsid w:val="00C8641A"/>
    <w:rsid w:val="00CA2E58"/>
    <w:rsid w:val="00D11A1E"/>
    <w:rsid w:val="00D21F11"/>
    <w:rsid w:val="00D369CF"/>
    <w:rsid w:val="00D914A5"/>
    <w:rsid w:val="00DB5E5C"/>
    <w:rsid w:val="00DC1B25"/>
    <w:rsid w:val="00DF5C5F"/>
    <w:rsid w:val="00E05A14"/>
    <w:rsid w:val="00E12E0A"/>
    <w:rsid w:val="00E2756F"/>
    <w:rsid w:val="00E93A3F"/>
    <w:rsid w:val="00EB0B9B"/>
    <w:rsid w:val="00ED5202"/>
    <w:rsid w:val="00ED62D3"/>
    <w:rsid w:val="00F050E3"/>
    <w:rsid w:val="00F32BF2"/>
    <w:rsid w:val="00F33F5B"/>
    <w:rsid w:val="00F84BF4"/>
    <w:rsid w:val="00F90F60"/>
    <w:rsid w:val="00FA7ECF"/>
    <w:rsid w:val="00FE509D"/>
    <w:rsid w:val="00FE5C83"/>
    <w:rsid w:val="0BBD11FB"/>
    <w:rsid w:val="0BFD4766"/>
    <w:rsid w:val="118F58A0"/>
    <w:rsid w:val="3B0554F0"/>
    <w:rsid w:val="41315723"/>
    <w:rsid w:val="420A378D"/>
    <w:rsid w:val="4F7439A6"/>
    <w:rsid w:val="77C47B62"/>
    <w:rsid w:val="79966F4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32"/>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lock Text"/>
    <w:basedOn w:val="1"/>
    <w:semiHidden/>
    <w:unhideWhenUsed/>
    <w:locked/>
    <w:uiPriority w:val="99"/>
    <w:pPr>
      <w:spacing w:after="120" w:afterLines="0" w:afterAutospacing="0"/>
      <w:ind w:left="1440" w:leftChars="700" w:rightChars="700"/>
    </w:pPr>
  </w:style>
  <w:style w:type="paragraph" w:styleId="3">
    <w:name w:val="Balloon Text"/>
    <w:basedOn w:val="1"/>
    <w:link w:val="13"/>
    <w:semiHidden/>
    <w:qFormat/>
    <w:locked/>
    <w:uiPriority w:val="99"/>
    <w:rPr>
      <w:sz w:val="18"/>
      <w:szCs w:val="18"/>
    </w:rPr>
  </w:style>
  <w:style w:type="paragraph" w:styleId="4">
    <w:name w:val="footer"/>
    <w:basedOn w:val="1"/>
    <w:link w:val="9"/>
    <w:uiPriority w:val="99"/>
    <w:pPr>
      <w:tabs>
        <w:tab w:val="center" w:pos="4153"/>
        <w:tab w:val="right" w:pos="8306"/>
      </w:tabs>
      <w:snapToGrid w:val="0"/>
      <w:jc w:val="left"/>
    </w:pPr>
    <w:rPr>
      <w:kern w:val="0"/>
      <w:sz w:val="18"/>
      <w:szCs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sz w:val="18"/>
      <w:szCs w:val="18"/>
    </w:rPr>
  </w:style>
  <w:style w:type="character" w:styleId="8">
    <w:name w:val="page number"/>
    <w:uiPriority w:val="99"/>
    <w:rPr>
      <w:rFonts w:cs="Times New Roman"/>
    </w:rPr>
  </w:style>
  <w:style w:type="character" w:customStyle="1" w:styleId="9">
    <w:name w:val="页脚 Char"/>
    <w:link w:val="4"/>
    <w:semiHidden/>
    <w:locked/>
    <w:uiPriority w:val="99"/>
    <w:rPr>
      <w:rFonts w:cs="Times New Roman"/>
      <w:sz w:val="18"/>
      <w:szCs w:val="18"/>
    </w:rPr>
  </w:style>
  <w:style w:type="character" w:customStyle="1" w:styleId="10">
    <w:name w:val="页眉 Char"/>
    <w:link w:val="5"/>
    <w:qFormat/>
    <w:locked/>
    <w:uiPriority w:val="99"/>
    <w:rPr>
      <w:rFonts w:ascii="Calibri" w:hAnsi="Calibri" w:cs="Times New Roman"/>
      <w:kern w:val="2"/>
      <w:sz w:val="18"/>
      <w:szCs w:val="18"/>
    </w:rPr>
  </w:style>
  <w:style w:type="paragraph" w:customStyle="1" w:styleId="11">
    <w:name w:val="列出段落1"/>
    <w:basedOn w:val="1"/>
    <w:uiPriority w:val="99"/>
    <w:pPr>
      <w:ind w:firstLine="420" w:firstLineChars="200"/>
    </w:pPr>
  </w:style>
  <w:style w:type="paragraph" w:styleId="12">
    <w:name w:val="List Paragraph"/>
    <w:basedOn w:val="1"/>
    <w:qFormat/>
    <w:uiPriority w:val="99"/>
    <w:pPr>
      <w:ind w:firstLine="420" w:firstLineChars="200"/>
    </w:pPr>
  </w:style>
  <w:style w:type="character" w:customStyle="1" w:styleId="13">
    <w:name w:val="批注框文本 Char"/>
    <w:link w:val="3"/>
    <w:semiHidden/>
    <w:qFormat/>
    <w:uiPriority w:val="99"/>
    <w:rPr>
      <w:sz w:val="0"/>
      <w:szCs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337</Words>
  <Characters>368</Characters>
  <Lines>30</Lines>
  <Paragraphs>37</Paragraphs>
  <TotalTime>32</TotalTime>
  <ScaleCrop>false</ScaleCrop>
  <LinksUpToDate>false</LinksUpToDate>
  <CharactersWithSpaces>668</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2019-03-25T09:48:00Z</dcterms:created>
  <dc:creator>白钰</dc:creator>
  <cp:lastModifiedBy>陈磊</cp:lastModifiedBy>
  <cp:lastPrinted>2019-03-25T01:14:00Z</cp:lastPrinted>
  <dcterms:modified xsi:type="dcterms:W3CDTF">2019-07-24T09:10:12Z</dcterms:modified>
  <dc:title>突发环境事件应急预案评审意见表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