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784D" w14:textId="77777777" w:rsidR="00BA13C5" w:rsidRDefault="00BA13C5" w:rsidP="00BA13C5">
      <w:pPr>
        <w:spacing w:line="240" w:lineRule="exact"/>
        <w:ind w:firstLine="646"/>
        <w:jc w:val="center"/>
        <w:rPr>
          <w:rFonts w:ascii="仿宋" w:eastAsia="仿宋" w:hAnsi="仿宋" w:cs="仿宋_GB2312"/>
          <w:sz w:val="32"/>
          <w:szCs w:val="32"/>
        </w:rPr>
      </w:pPr>
    </w:p>
    <w:p w14:paraId="4D7F1177" w14:textId="77777777" w:rsidR="00BA13C5" w:rsidRDefault="00BA13C5" w:rsidP="00BA13C5">
      <w:pPr>
        <w:spacing w:line="100" w:lineRule="exact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   </w:t>
      </w:r>
    </w:p>
    <w:p w14:paraId="1ECDE6DD" w14:textId="77777777" w:rsidR="00BA13C5" w:rsidRDefault="00BA13C5" w:rsidP="00BA13C5">
      <w:pPr>
        <w:spacing w:line="400" w:lineRule="exac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pacing w:val="-24"/>
          <w:sz w:val="28"/>
          <w:szCs w:val="28"/>
          <w:u w:val="single"/>
        </w:rPr>
        <w:t xml:space="preserve">陕西省西咸新区秦汉新城管理委员会办公室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2018年6月7日印发 </w:t>
      </w:r>
    </w:p>
    <w:p w14:paraId="5C1E5D96" w14:textId="77777777" w:rsidR="00BA13C5" w:rsidRDefault="00BA13C5" w:rsidP="00BA13C5">
      <w:pPr>
        <w:spacing w:line="5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陕西省西咸新区秦汉新城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剿劣水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三年行动</w:t>
      </w:r>
    </w:p>
    <w:p w14:paraId="13F93144" w14:textId="77777777" w:rsidR="00BA13C5" w:rsidRDefault="00BA13C5" w:rsidP="00BA13C5">
      <w:pPr>
        <w:spacing w:line="5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方案暨2018年工作方案</w:t>
      </w:r>
    </w:p>
    <w:p w14:paraId="59E3B526" w14:textId="77777777" w:rsidR="00BA13C5" w:rsidRDefault="00BA13C5" w:rsidP="00BA13C5">
      <w:pPr>
        <w:spacing w:line="540" w:lineRule="exact"/>
        <w:ind w:firstLine="646"/>
        <w:rPr>
          <w:rFonts w:ascii="仿宋_GB2312" w:eastAsia="仿宋_GB2312" w:hAnsi="黑体" w:hint="eastAsia"/>
          <w:b/>
          <w:sz w:val="30"/>
          <w:szCs w:val="30"/>
        </w:rPr>
      </w:pPr>
    </w:p>
    <w:p w14:paraId="0FA95C88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打好新城剿灭劣V类水攻坚战，实现“一三五”治水目标，根据市委市政府《关于全面落实河长制的实施意见》（市发〔2017〕11号）和《西咸新区剿劣水三年行动方案暨2018年工作方案》的精神，制定本行动方案。</w:t>
      </w:r>
    </w:p>
    <w:p w14:paraId="6F4F8C32" w14:textId="77777777" w:rsidR="00BA13C5" w:rsidRDefault="00BA13C5" w:rsidP="00BA13C5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一、工作目标</w:t>
      </w:r>
    </w:p>
    <w:p w14:paraId="59C23C3E" w14:textId="77777777" w:rsidR="00BA13C5" w:rsidRDefault="00BA13C5" w:rsidP="00BA13C5">
      <w:pPr>
        <w:spacing w:line="540" w:lineRule="exact"/>
        <w:ind w:left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以提升水环境质量为核心，以河湖长制为抓手，巩固提</w:t>
      </w:r>
    </w:p>
    <w:p w14:paraId="0B8E0DE3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升2017年“垃圾河、黑臭河”专项治理成果，实施城镇污水处理厂建设及提</w:t>
      </w:r>
      <w:proofErr w:type="gramStart"/>
      <w:r>
        <w:rPr>
          <w:rFonts w:ascii="仿宋" w:eastAsia="仿宋" w:hAnsi="仿宋" w:hint="eastAsia"/>
          <w:sz w:val="32"/>
          <w:szCs w:val="32"/>
        </w:rPr>
        <w:t>标改造</w:t>
      </w:r>
      <w:proofErr w:type="gramEnd"/>
      <w:r>
        <w:rPr>
          <w:rFonts w:ascii="仿宋" w:eastAsia="仿宋" w:hAnsi="仿宋" w:hint="eastAsia"/>
          <w:sz w:val="32"/>
          <w:szCs w:val="32"/>
        </w:rPr>
        <w:t>工程、农村生活污水治理工程、城镇截污纳管及雨污分流改造工程等</w:t>
      </w:r>
      <w:proofErr w:type="gramStart"/>
      <w:r>
        <w:rPr>
          <w:rFonts w:ascii="仿宋" w:eastAsia="仿宋" w:hAnsi="仿宋" w:hint="eastAsia"/>
          <w:sz w:val="32"/>
          <w:szCs w:val="32"/>
        </w:rPr>
        <w:t>剿</w:t>
      </w:r>
      <w:proofErr w:type="gramEnd"/>
      <w:r>
        <w:rPr>
          <w:rFonts w:ascii="仿宋" w:eastAsia="仿宋" w:hAnsi="仿宋" w:hint="eastAsia"/>
          <w:sz w:val="32"/>
          <w:szCs w:val="32"/>
        </w:rPr>
        <w:t>劣水工程，实现新城所有河流、湖泊、沟渠、涝池等水体水质达标，维护好河湖生命健康。</w:t>
      </w:r>
    </w:p>
    <w:p w14:paraId="63B77E80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到2020年底，全面消除新城境内劣V类水体，水生态系统功能基本恢复，渭河秦汉段出境断面水质稳定达到IV类，</w:t>
      </w:r>
      <w:proofErr w:type="gramStart"/>
      <w:r>
        <w:rPr>
          <w:rFonts w:ascii="仿宋" w:eastAsia="仿宋" w:hAnsi="仿宋" w:hint="eastAsia"/>
          <w:sz w:val="32"/>
          <w:szCs w:val="32"/>
        </w:rPr>
        <w:t>泾</w:t>
      </w:r>
      <w:proofErr w:type="gramEnd"/>
      <w:r>
        <w:rPr>
          <w:rFonts w:ascii="仿宋" w:eastAsia="仿宋" w:hAnsi="仿宋" w:hint="eastAsia"/>
          <w:sz w:val="32"/>
          <w:szCs w:val="32"/>
        </w:rPr>
        <w:t>河水</w:t>
      </w:r>
      <w:proofErr w:type="gramStart"/>
      <w:r>
        <w:rPr>
          <w:rFonts w:ascii="仿宋" w:eastAsia="仿宋" w:hAnsi="仿宋" w:hint="eastAsia"/>
          <w:sz w:val="32"/>
          <w:szCs w:val="32"/>
        </w:rPr>
        <w:t>质达到</w:t>
      </w:r>
      <w:proofErr w:type="gramEnd"/>
      <w:r>
        <w:rPr>
          <w:rFonts w:ascii="仿宋" w:eastAsia="仿宋" w:hAnsi="仿宋" w:hint="eastAsia"/>
          <w:sz w:val="32"/>
          <w:szCs w:val="32"/>
        </w:rPr>
        <w:t>相应水环境功能区划要求；芋子湖水</w:t>
      </w:r>
      <w:proofErr w:type="gramStart"/>
      <w:r>
        <w:rPr>
          <w:rFonts w:ascii="仿宋" w:eastAsia="仿宋" w:hAnsi="仿宋" w:hint="eastAsia"/>
          <w:sz w:val="32"/>
          <w:szCs w:val="32"/>
        </w:rPr>
        <w:t>质达到</w:t>
      </w:r>
      <w:proofErr w:type="gramEnd"/>
      <w:r>
        <w:rPr>
          <w:rFonts w:ascii="仿宋" w:eastAsia="仿宋" w:hAnsi="仿宋" w:hint="eastAsia"/>
          <w:sz w:val="32"/>
          <w:szCs w:val="32"/>
        </w:rPr>
        <w:t>Ⅲ类。</w:t>
      </w:r>
    </w:p>
    <w:p w14:paraId="117CE7D1" w14:textId="77777777" w:rsidR="00BA13C5" w:rsidRDefault="00BA13C5" w:rsidP="00BA13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二、重点任务</w:t>
      </w:r>
    </w:p>
    <w:p w14:paraId="7FD6054E" w14:textId="77777777" w:rsidR="00BA13C5" w:rsidRDefault="00BA13C5" w:rsidP="00BA13C5">
      <w:pPr>
        <w:numPr>
          <w:ilvl w:val="0"/>
          <w:numId w:val="1"/>
        </w:numPr>
        <w:spacing w:line="54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城镇污水处理厂建设</w:t>
      </w:r>
    </w:p>
    <w:p w14:paraId="50966D02" w14:textId="77777777" w:rsidR="00BA13C5" w:rsidRDefault="00BA13C5" w:rsidP="00BA13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以全面提升新城城镇污水处理厂污水处理率和排放水质为重点，不断提升新城污水处理能力，到2020年，视新城污水来水量适时启动朝阳污水处理厂二期项目建设或新建</w:t>
      </w:r>
      <w:r>
        <w:rPr>
          <w:rFonts w:ascii="仿宋" w:eastAsia="仿宋" w:hAnsi="仿宋" w:hint="eastAsia"/>
          <w:sz w:val="32"/>
          <w:szCs w:val="32"/>
        </w:rPr>
        <w:lastRenderedPageBreak/>
        <w:t>正阳污水处理厂1座，日新增污水处理能力5万吨/日。新城内污水处理厂出水水质除总氮指标外，基本控制指标达到地表水IV类水质，再生水利用率达到20%以上。</w:t>
      </w:r>
    </w:p>
    <w:p w14:paraId="35E0C051" w14:textId="77777777" w:rsidR="00BA13C5" w:rsidRDefault="00BA13C5" w:rsidP="00BA13C5">
      <w:pPr>
        <w:spacing w:line="540" w:lineRule="exact"/>
        <w:ind w:leftChars="76" w:left="160" w:firstLineChars="150" w:firstLine="480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牵头单位：综合执法和城乡管理局，配合单位：规划建设局、环境保护局、发展改革局，实施单位：综合执法和城乡管理局</w:t>
      </w:r>
    </w:p>
    <w:p w14:paraId="0A3EAE0F" w14:textId="77777777" w:rsidR="00BA13C5" w:rsidRDefault="00BA13C5" w:rsidP="00BA13C5">
      <w:pPr>
        <w:numPr>
          <w:ilvl w:val="0"/>
          <w:numId w:val="1"/>
        </w:numPr>
        <w:spacing w:line="54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农村生活污水治理工程</w:t>
      </w:r>
    </w:p>
    <w:p w14:paraId="21A825A1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以中央农村人居环境整治三年行动法案为指导，以建设清洁乡村、美丽乡村为目标，制定农村生活污水治理三年行动方案，采用“城带村”“镇带村”“联村”“单村”等方式，加快农村生活污水处理设施建设。</w:t>
      </w:r>
    </w:p>
    <w:p w14:paraId="4AB86376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到2020年，新城80%以上行政村生活污水得到有效治理。</w:t>
      </w:r>
    </w:p>
    <w:p w14:paraId="1ECC74C5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2018年将采用新城自建，完成21个行政村生活污水治理，6月底前全部开工，年底全部建设完成。</w:t>
      </w:r>
    </w:p>
    <w:p w14:paraId="24A8674F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牵头单位：农林水和交通工作局， 配合单位：规划建设局、环境保护局，实施单位：各街办（镇）</w:t>
      </w:r>
    </w:p>
    <w:p w14:paraId="6B900EF3" w14:textId="77777777" w:rsidR="00BA13C5" w:rsidRDefault="00BA13C5" w:rsidP="00BA13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（三）城镇截污纳管及雨污分流改造工程</w:t>
      </w:r>
    </w:p>
    <w:p w14:paraId="109A6489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按照污水“全收集”的目标，制定截污纳管与雨污分流</w:t>
      </w:r>
    </w:p>
    <w:p w14:paraId="0E0F90BF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治理专项行动方案，制定年度建设计划。各街办（镇）居民小区、企事业单位内部排污管道接入市政管网，加强污水管网的日常养护，按照规划完成新建排水管网工作。</w:t>
      </w:r>
    </w:p>
    <w:p w14:paraId="0630B2FA" w14:textId="77777777" w:rsidR="00BA13C5" w:rsidRDefault="00BA13C5" w:rsidP="00BA13C5">
      <w:pPr>
        <w:spacing w:line="540" w:lineRule="exact"/>
        <w:ind w:firstLine="63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到2020年，新城雨污分流改造完成7公里。</w:t>
      </w:r>
    </w:p>
    <w:p w14:paraId="154ECE28" w14:textId="77777777" w:rsidR="00BA13C5" w:rsidRDefault="00BA13C5" w:rsidP="00BA13C5">
      <w:pPr>
        <w:spacing w:line="540" w:lineRule="exact"/>
        <w:ind w:firstLine="63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2018年，新城雨污分流改造完成2公里。</w:t>
      </w:r>
    </w:p>
    <w:p w14:paraId="0B4783E4" w14:textId="77777777" w:rsidR="00BA13C5" w:rsidRDefault="00BA13C5" w:rsidP="00BA13C5">
      <w:pPr>
        <w:spacing w:line="540" w:lineRule="exact"/>
        <w:ind w:firstLine="63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牵头单位：规划建设局  实施单位：政府投资管理局</w:t>
      </w:r>
    </w:p>
    <w:p w14:paraId="519B6D83" w14:textId="77777777" w:rsidR="00BA13C5" w:rsidRDefault="00BA13C5" w:rsidP="00BA13C5">
      <w:pPr>
        <w:spacing w:line="54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（四）沿河工商企业执法监管工程</w:t>
      </w:r>
    </w:p>
    <w:p w14:paraId="52C51075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</w:t>
      </w:r>
      <w:proofErr w:type="gramStart"/>
      <w:r>
        <w:rPr>
          <w:rFonts w:ascii="仿宋" w:eastAsia="仿宋" w:hAnsi="仿宋" w:hint="eastAsia"/>
          <w:sz w:val="32"/>
          <w:szCs w:val="32"/>
        </w:rPr>
        <w:t>监测全</w:t>
      </w:r>
      <w:proofErr w:type="gramEnd"/>
      <w:r>
        <w:rPr>
          <w:rFonts w:ascii="仿宋" w:eastAsia="仿宋" w:hAnsi="仿宋" w:hint="eastAsia"/>
          <w:sz w:val="32"/>
          <w:szCs w:val="32"/>
        </w:rPr>
        <w:t>覆盖、监管全天候的目标，加强水环境执法</w:t>
      </w:r>
    </w:p>
    <w:p w14:paraId="6D15387C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监管，所有重点水污染企业均按要求安装自动监测设备，实现全天候监控。所有排污单位必须依法实现全面稳定达标排放。每开展专项执法检查，对超标和超总量的企业予“黄牌”警示，一律限制生产或停产整治；对整治未能达到要求</w:t>
      </w:r>
      <w:proofErr w:type="gramStart"/>
      <w:r>
        <w:rPr>
          <w:rFonts w:ascii="仿宋" w:eastAsia="仿宋" w:hAnsi="仿宋" w:hint="eastAsia"/>
          <w:sz w:val="32"/>
          <w:szCs w:val="32"/>
        </w:rPr>
        <w:t>且违法</w:t>
      </w:r>
      <w:proofErr w:type="gramEnd"/>
      <w:r>
        <w:rPr>
          <w:rFonts w:ascii="仿宋" w:eastAsia="仿宋" w:hAnsi="仿宋" w:hint="eastAsia"/>
          <w:sz w:val="32"/>
          <w:szCs w:val="32"/>
        </w:rPr>
        <w:t>情节严重的企业予以“红牌”处罚，一律停业、关闭。</w:t>
      </w:r>
    </w:p>
    <w:p w14:paraId="6224E109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按照“四个一律”要求，定期开展沿河小作坊、小餐饮、</w:t>
      </w:r>
    </w:p>
    <w:p w14:paraId="3BD9F701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洗车场、洗砂场、搅拌站、农贸市场、早夜市、“农家乐”等微小污水乱排问题专项治理行动。</w:t>
      </w:r>
    </w:p>
    <w:p w14:paraId="33E5A7F2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到2020年，新城重点污染源全部实现自动监控，工业</w:t>
      </w:r>
    </w:p>
    <w:p w14:paraId="0C68CCCD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聚集区污水治理设施完善，水环境执法监督威慑作用明显提高。</w:t>
      </w:r>
    </w:p>
    <w:p w14:paraId="2B859ECE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2018年新城所有</w:t>
      </w:r>
      <w:proofErr w:type="gramStart"/>
      <w:r>
        <w:rPr>
          <w:rFonts w:ascii="仿宋" w:eastAsia="仿宋" w:hAnsi="仿宋" w:hint="eastAsia"/>
          <w:sz w:val="32"/>
          <w:szCs w:val="32"/>
        </w:rPr>
        <w:t>国控企业</w:t>
      </w:r>
      <w:proofErr w:type="gramEnd"/>
      <w:r>
        <w:rPr>
          <w:rFonts w:ascii="仿宋" w:eastAsia="仿宋" w:hAnsi="仿宋" w:hint="eastAsia"/>
          <w:sz w:val="32"/>
          <w:szCs w:val="32"/>
        </w:rPr>
        <w:t>完成水质自动监控设备安装，微小企业污水乱排放问题得到有效遏制。</w:t>
      </w:r>
    </w:p>
    <w:p w14:paraId="4029FF81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牵头单位：环境保护局，配合单位：发展改革局、</w:t>
      </w:r>
      <w:r>
        <w:rPr>
          <w:rFonts w:ascii="仿宋" w:eastAsia="仿宋" w:hAnsi="仿宋" w:hint="eastAsia"/>
          <w:color w:val="000000"/>
          <w:sz w:val="32"/>
          <w:szCs w:val="32"/>
        </w:rPr>
        <w:t>综合执法和城乡管理局</w:t>
      </w:r>
      <w:r>
        <w:rPr>
          <w:rFonts w:ascii="仿宋" w:eastAsia="仿宋" w:hAnsi="仿宋" w:hint="eastAsia"/>
          <w:sz w:val="32"/>
          <w:szCs w:val="32"/>
        </w:rPr>
        <w:t>，实施单位：各街办（镇）</w:t>
      </w:r>
    </w:p>
    <w:p w14:paraId="263BDA52" w14:textId="77777777" w:rsidR="00BA13C5" w:rsidRDefault="00BA13C5" w:rsidP="00BA13C5">
      <w:pPr>
        <w:spacing w:line="54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（五）沿河农村垃圾集中收集装置工程</w:t>
      </w:r>
    </w:p>
    <w:p w14:paraId="61334930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全面推进沿河农村生活垃圾分类收集处置工作，提高减</w:t>
      </w:r>
    </w:p>
    <w:p w14:paraId="078BA8A2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量化、无害化、资源化水平。</w:t>
      </w:r>
    </w:p>
    <w:p w14:paraId="13D0FB70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到2020年，实现新城沿河行政村生活垃圾全收集全处</w:t>
      </w:r>
    </w:p>
    <w:p w14:paraId="534AAE16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理。</w:t>
      </w:r>
    </w:p>
    <w:p w14:paraId="730556E2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2018年，主要完成新城行政村生活垃圾集中收集处置，</w:t>
      </w:r>
    </w:p>
    <w:p w14:paraId="2EE31496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处理率达到85%。</w:t>
      </w:r>
    </w:p>
    <w:p w14:paraId="58999B54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牵头单位：综合执法和城乡管理局，实施单位：各街办</w:t>
      </w:r>
      <w:r>
        <w:rPr>
          <w:rFonts w:ascii="仿宋" w:eastAsia="仿宋" w:hAnsi="仿宋" w:hint="eastAsia"/>
          <w:sz w:val="32"/>
          <w:szCs w:val="32"/>
        </w:rPr>
        <w:lastRenderedPageBreak/>
        <w:t>（镇）</w:t>
      </w:r>
    </w:p>
    <w:p w14:paraId="17E8C161" w14:textId="77777777" w:rsidR="00BA13C5" w:rsidRDefault="00BA13C5" w:rsidP="00BA13C5">
      <w:pPr>
        <w:spacing w:line="54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（六）农业面源污染及养殖场治理工程</w:t>
      </w:r>
    </w:p>
    <w:p w14:paraId="574F743D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持续推进化肥农药减量化行动，持续降低农业面源污染。积极推进规模养殖场粪便污水储存、处理、利用设施配建，在养殖集中区域建设畜禽粪污集中处理中心，实行畜禽粪便污水分户收集，集中利用处理。不断提高畜禽粪污无害化处理，资源化利用，防止河道污染。</w:t>
      </w:r>
    </w:p>
    <w:p w14:paraId="1E2B2560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调整水产养殖，明确水产养殖区域，加强水产养殖污染处理，大力推进池塘循环水养殖，减少尾水排放，</w:t>
      </w:r>
    </w:p>
    <w:p w14:paraId="784585D9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到2020年，新城测土配方施肥技术覆盖率达90%以上，农作物病虫害绿色防控覆盖率达30%以上，肥料、农药利用率达到40%以上。</w:t>
      </w:r>
      <w:r>
        <w:rPr>
          <w:rFonts w:ascii="仿宋" w:eastAsia="仿宋" w:hAnsi="仿宋" w:hint="eastAsia"/>
          <w:sz w:val="32"/>
          <w:szCs w:val="32"/>
        </w:rPr>
        <w:t>新城规模养殖场粪污水处理设施装备配套率达到95%以上，畜禽粪污综合利用率达到75%以上。</w:t>
      </w:r>
    </w:p>
    <w:p w14:paraId="1E2CDBF5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2018年，新城农药、化肥使用零增长，完成４个规模养殖场污水处理配建。</w:t>
      </w:r>
    </w:p>
    <w:p w14:paraId="39FEFEE0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牵头单位：农林水和交通工作局，实施单位：各街办（镇）</w:t>
      </w:r>
    </w:p>
    <w:p w14:paraId="0684AC0C" w14:textId="77777777" w:rsidR="00BA13C5" w:rsidRDefault="00BA13C5" w:rsidP="00BA13C5">
      <w:pPr>
        <w:spacing w:line="54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（七）海绵城市建设改造工程</w:t>
      </w:r>
    </w:p>
    <w:p w14:paraId="2AC90594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按照《西咸新区海绵城市专项规划》和</w:t>
      </w:r>
      <w:proofErr w:type="gramStart"/>
      <w:r>
        <w:rPr>
          <w:rFonts w:ascii="仿宋" w:eastAsia="仿宋" w:hAnsi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hint="eastAsia"/>
          <w:sz w:val="32"/>
          <w:szCs w:val="32"/>
        </w:rPr>
        <w:t>西咸新区进一</w:t>
      </w:r>
    </w:p>
    <w:p w14:paraId="7CE7C199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步推进</w:t>
      </w:r>
      <w:proofErr w:type="gramEnd"/>
      <w:r>
        <w:rPr>
          <w:rFonts w:ascii="仿宋" w:eastAsia="仿宋" w:hAnsi="仿宋" w:hint="eastAsia"/>
          <w:sz w:val="32"/>
          <w:szCs w:val="32"/>
        </w:rPr>
        <w:t>海绵城市建设实施方案</w:t>
      </w:r>
      <w:proofErr w:type="gramStart"/>
      <w:r>
        <w:rPr>
          <w:rFonts w:ascii="仿宋" w:eastAsia="仿宋" w:hAnsi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hint="eastAsia"/>
          <w:sz w:val="32"/>
          <w:szCs w:val="32"/>
        </w:rPr>
        <w:t>，重点对城区居民小区、公园绿地、道路广场实施海绵城市建设改造，探索河道海绵化改造，加快海绵城市相关项目建设，减少初期雨水污染河流，实现雨水资源化利用。</w:t>
      </w:r>
    </w:p>
    <w:p w14:paraId="61FB0BAF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牵头单位：规划建设局，配合单位：环境保护局、各街办（镇）  实施单位：基建公司</w:t>
      </w:r>
    </w:p>
    <w:p w14:paraId="76FC1136" w14:textId="77777777" w:rsidR="00BA13C5" w:rsidRDefault="00BA13C5" w:rsidP="00BA13C5">
      <w:pPr>
        <w:spacing w:line="54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（八）河流湖库治理及水生态修复工程</w:t>
      </w:r>
    </w:p>
    <w:p w14:paraId="3F2D4040" w14:textId="77777777" w:rsidR="00BA13C5" w:rsidRDefault="00BA13C5" w:rsidP="00BA13C5">
      <w:pPr>
        <w:spacing w:line="540" w:lineRule="exact"/>
        <w:ind w:left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按照《西咸新区水系规范》总体要求，以</w:t>
      </w:r>
      <w:proofErr w:type="gramStart"/>
      <w:r>
        <w:rPr>
          <w:rFonts w:ascii="仿宋" w:eastAsia="仿宋" w:hAnsi="仿宋" w:hint="eastAsia"/>
          <w:sz w:val="32"/>
          <w:szCs w:val="32"/>
        </w:rPr>
        <w:t>建设扩水增</w:t>
      </w:r>
      <w:proofErr w:type="gramEnd"/>
      <w:r>
        <w:rPr>
          <w:rFonts w:ascii="仿宋" w:eastAsia="仿宋" w:hAnsi="仿宋" w:hint="eastAsia"/>
          <w:sz w:val="32"/>
          <w:szCs w:val="32"/>
        </w:rPr>
        <w:t>绿</w:t>
      </w:r>
    </w:p>
    <w:p w14:paraId="4606A600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现代田园城市为目标，以堤防建设、污水治理、河道绿化及景观建设为重点，加快渭河、泾河等主要河流综合治理工程。</w:t>
      </w:r>
    </w:p>
    <w:p w14:paraId="081B242C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全面落实河湖长制，按照秦汉编制的“一河（湖）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策”治理保护方案，加快渭河湿地公园项目建设，推进泾河治理规划建设。加大水生态保护与修复力度，逐步恢复河湖湿地等各类水体的自然连通和水体自净能力。 </w:t>
      </w:r>
    </w:p>
    <w:p w14:paraId="14475B1E" w14:textId="77777777" w:rsidR="00BA13C5" w:rsidRDefault="00BA13C5" w:rsidP="00BA13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到2020年，基本完成水系建设任务，新城境内河流湖库全面消除劣V类水体。</w:t>
      </w:r>
    </w:p>
    <w:p w14:paraId="107F4B0B" w14:textId="77777777" w:rsidR="00BA13C5" w:rsidRDefault="00BA13C5" w:rsidP="00BA13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2018年，重点完成渭河湿地公园一期工程建设，新增湿地2000亩，水环境质量显著提升。</w:t>
      </w:r>
    </w:p>
    <w:p w14:paraId="7E6EA0DC" w14:textId="77777777" w:rsidR="00BA13C5" w:rsidRDefault="00BA13C5" w:rsidP="00BA13C5">
      <w:pPr>
        <w:spacing w:line="54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牵头单位：农林水和交通工作局，配合单位：规划建设局，实施单位：集团公司</w:t>
      </w:r>
    </w:p>
    <w:p w14:paraId="751E1D24" w14:textId="77777777" w:rsidR="00BA13C5" w:rsidRDefault="00BA13C5" w:rsidP="00BA13C5">
      <w:pPr>
        <w:spacing w:line="54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（九）河湖监测管理工程</w:t>
      </w:r>
    </w:p>
    <w:p w14:paraId="1F50ECC9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加快推进水质自动监测站点建设，积极应用互联网+，大数据等新技术新手段，强化河流湖库水环境质量监测监控，充分运用河长制信息化管理平台，实现河湖智慧化管理。</w:t>
      </w:r>
    </w:p>
    <w:p w14:paraId="7E98947C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到2020年，建成河湖管理大数据库和市政管网大数据库，实现新城河湖信息化管理全覆盖。</w:t>
      </w:r>
    </w:p>
    <w:p w14:paraId="3E856577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2018年，建成河长制信息化管理平台，重要河湖水质自动化监测体系，启动河湖管理大数据库、市政管网大数据库和农村生活污水治理自动化监测管理系统建设。</w:t>
      </w:r>
    </w:p>
    <w:p w14:paraId="1E9248FE" w14:textId="77777777" w:rsidR="00BA13C5" w:rsidRDefault="00BA13C5" w:rsidP="00BA13C5">
      <w:pPr>
        <w:spacing w:line="54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牵头单位：河长办，实施单位：规划建设局、发展改革局、环境保护局、综合执法和城乡建设管理局、各街办（镇）</w:t>
      </w:r>
    </w:p>
    <w:p w14:paraId="6D070C0A" w14:textId="77777777" w:rsidR="00BA13C5" w:rsidRDefault="00BA13C5" w:rsidP="00BA13C5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三、保障措施</w:t>
      </w:r>
    </w:p>
    <w:p w14:paraId="4265DEAF" w14:textId="77777777" w:rsidR="00BA13C5" w:rsidRDefault="00BA13C5" w:rsidP="00BA13C5">
      <w:pPr>
        <w:numPr>
          <w:ilvl w:val="0"/>
          <w:numId w:val="2"/>
        </w:num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加强领导，细化任务。</w:t>
      </w:r>
      <w:r>
        <w:rPr>
          <w:rFonts w:ascii="仿宋" w:eastAsia="仿宋" w:hAnsi="仿宋" w:hint="eastAsia"/>
          <w:sz w:val="32"/>
          <w:szCs w:val="32"/>
        </w:rPr>
        <w:t>按照工作目标化、目标项</w:t>
      </w:r>
    </w:p>
    <w:p w14:paraId="591CAD93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目化，项目责任化的要求，各部门要加强组织领导，结合实际，制定本部门</w:t>
      </w:r>
      <w:proofErr w:type="gramStart"/>
      <w:r>
        <w:rPr>
          <w:rFonts w:ascii="仿宋" w:eastAsia="仿宋" w:hAnsi="仿宋" w:hint="eastAsia"/>
          <w:sz w:val="32"/>
          <w:szCs w:val="32"/>
        </w:rPr>
        <w:t>剿劣水工作</w:t>
      </w:r>
      <w:proofErr w:type="gramEnd"/>
      <w:r>
        <w:rPr>
          <w:rFonts w:ascii="仿宋" w:eastAsia="仿宋" w:hAnsi="仿宋" w:hint="eastAsia"/>
          <w:sz w:val="32"/>
          <w:szCs w:val="32"/>
        </w:rPr>
        <w:t>方案，明确工作责任，进度要求、考核办法、保障措施，全面深化河长制工作。河长制作战指挥部各专项工作组牵头单位，要根据各自职责任务分工，把</w:t>
      </w:r>
      <w:proofErr w:type="gramStart"/>
      <w:r>
        <w:rPr>
          <w:rFonts w:ascii="仿宋" w:eastAsia="仿宋" w:hAnsi="仿宋" w:hint="eastAsia"/>
          <w:sz w:val="32"/>
          <w:szCs w:val="32"/>
        </w:rPr>
        <w:t>剿劣水行动</w:t>
      </w:r>
      <w:proofErr w:type="gramEnd"/>
      <w:r>
        <w:rPr>
          <w:rFonts w:ascii="仿宋" w:eastAsia="仿宋" w:hAnsi="仿宋" w:hint="eastAsia"/>
          <w:sz w:val="32"/>
          <w:szCs w:val="32"/>
        </w:rPr>
        <w:t>工作再细化，再分解，明确时间表，路线图，明确各部门具体任务，协调解决河湖管理的重点难点问题，高质量完成三年</w:t>
      </w:r>
      <w:proofErr w:type="gramStart"/>
      <w:r>
        <w:rPr>
          <w:rFonts w:ascii="仿宋" w:eastAsia="仿宋" w:hAnsi="仿宋" w:hint="eastAsia"/>
          <w:sz w:val="32"/>
          <w:szCs w:val="32"/>
        </w:rPr>
        <w:t>剿劣水</w:t>
      </w:r>
      <w:proofErr w:type="gramEnd"/>
      <w:r>
        <w:rPr>
          <w:rFonts w:ascii="仿宋" w:eastAsia="仿宋" w:hAnsi="仿宋" w:hint="eastAsia"/>
          <w:sz w:val="32"/>
          <w:szCs w:val="32"/>
        </w:rPr>
        <w:t>任务。</w:t>
      </w:r>
    </w:p>
    <w:p w14:paraId="3C3BBD9D" w14:textId="77777777" w:rsidR="00BA13C5" w:rsidRDefault="00BA13C5" w:rsidP="00BA13C5">
      <w:pPr>
        <w:numPr>
          <w:ilvl w:val="0"/>
          <w:numId w:val="2"/>
        </w:num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严格考核，强化问责。</w:t>
      </w:r>
      <w:r>
        <w:rPr>
          <w:rFonts w:ascii="仿宋" w:eastAsia="仿宋" w:hAnsi="仿宋" w:hint="eastAsia"/>
          <w:sz w:val="32"/>
          <w:szCs w:val="32"/>
        </w:rPr>
        <w:t xml:space="preserve"> 严格落实河湖长制的联</w:t>
      </w:r>
    </w:p>
    <w:p w14:paraId="5AE60860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席会议、巡查、考核监督、信息共享、检查验收等工作制度，将</w:t>
      </w:r>
      <w:proofErr w:type="gramStart"/>
      <w:r>
        <w:rPr>
          <w:rFonts w:ascii="仿宋" w:eastAsia="仿宋" w:hAnsi="仿宋" w:hint="eastAsia"/>
          <w:sz w:val="32"/>
          <w:szCs w:val="32"/>
        </w:rPr>
        <w:t>剿劣水实施</w:t>
      </w:r>
      <w:proofErr w:type="gramEnd"/>
      <w:r>
        <w:rPr>
          <w:rFonts w:ascii="仿宋" w:eastAsia="仿宋" w:hAnsi="仿宋" w:hint="eastAsia"/>
          <w:sz w:val="32"/>
          <w:szCs w:val="32"/>
        </w:rPr>
        <w:t>情况作为“河湖长制”督促考核的主要内容，每月对进展情况进行考核通报，对工作不力，进展滞后的部门相关领导进行通报、</w:t>
      </w:r>
      <w:proofErr w:type="gramStart"/>
      <w:r>
        <w:rPr>
          <w:rFonts w:ascii="仿宋" w:eastAsia="仿宋" w:hAnsi="仿宋" w:hint="eastAsia"/>
          <w:sz w:val="32"/>
          <w:szCs w:val="32"/>
        </w:rPr>
        <w:t>约谈问</w:t>
      </w:r>
      <w:proofErr w:type="gramEnd"/>
      <w:r>
        <w:rPr>
          <w:rFonts w:ascii="仿宋" w:eastAsia="仿宋" w:hAnsi="仿宋" w:hint="eastAsia"/>
          <w:sz w:val="32"/>
          <w:szCs w:val="32"/>
        </w:rPr>
        <w:t>责。</w:t>
      </w:r>
    </w:p>
    <w:p w14:paraId="45DC2AA2" w14:textId="77777777" w:rsidR="00BA13C5" w:rsidRDefault="00BA13C5" w:rsidP="00BA13C5">
      <w:pPr>
        <w:numPr>
          <w:ilvl w:val="0"/>
          <w:numId w:val="2"/>
        </w:num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统筹安排，强化保障。</w:t>
      </w:r>
      <w:r>
        <w:rPr>
          <w:rFonts w:ascii="仿宋" w:eastAsia="仿宋" w:hAnsi="仿宋" w:hint="eastAsia"/>
          <w:sz w:val="32"/>
          <w:szCs w:val="32"/>
        </w:rPr>
        <w:t>发改、财政等部门要</w:t>
      </w:r>
    </w:p>
    <w:p w14:paraId="2A5C67F0" w14:textId="77777777" w:rsid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加大对</w:t>
      </w:r>
      <w:proofErr w:type="gramStart"/>
      <w:r>
        <w:rPr>
          <w:rFonts w:ascii="仿宋" w:eastAsia="仿宋" w:hAnsi="仿宋" w:hint="eastAsia"/>
          <w:sz w:val="32"/>
          <w:szCs w:val="32"/>
        </w:rPr>
        <w:t>剿劣水重点</w:t>
      </w:r>
      <w:proofErr w:type="gramEnd"/>
      <w:r>
        <w:rPr>
          <w:rFonts w:ascii="仿宋" w:eastAsia="仿宋" w:hAnsi="仿宋" w:hint="eastAsia"/>
          <w:sz w:val="32"/>
          <w:szCs w:val="32"/>
        </w:rPr>
        <w:t>项目的资金倾斜支持力度，积极创新融资机制，引导和吸收社会资本参与</w:t>
      </w:r>
      <w:proofErr w:type="gramStart"/>
      <w:r>
        <w:rPr>
          <w:rFonts w:ascii="仿宋" w:eastAsia="仿宋" w:hAnsi="仿宋" w:hint="eastAsia"/>
          <w:sz w:val="32"/>
          <w:szCs w:val="32"/>
        </w:rPr>
        <w:t>剿劣水</w:t>
      </w:r>
      <w:proofErr w:type="gramEnd"/>
      <w:r>
        <w:rPr>
          <w:rFonts w:ascii="仿宋" w:eastAsia="仿宋" w:hAnsi="仿宋" w:hint="eastAsia"/>
          <w:sz w:val="32"/>
          <w:szCs w:val="32"/>
        </w:rPr>
        <w:t>三年行动。建立</w:t>
      </w:r>
      <w:proofErr w:type="gramStart"/>
      <w:r>
        <w:rPr>
          <w:rFonts w:ascii="仿宋" w:eastAsia="仿宋" w:hAnsi="仿宋" w:hint="eastAsia"/>
          <w:sz w:val="32"/>
          <w:szCs w:val="32"/>
        </w:rPr>
        <w:t>剿</w:t>
      </w:r>
      <w:proofErr w:type="gramEnd"/>
      <w:r>
        <w:rPr>
          <w:rFonts w:ascii="仿宋" w:eastAsia="仿宋" w:hAnsi="仿宋" w:hint="eastAsia"/>
          <w:sz w:val="32"/>
          <w:szCs w:val="32"/>
        </w:rPr>
        <w:t>劣水工程应急管理绿色通道，确保各类工程项目顺利建设。</w:t>
      </w:r>
    </w:p>
    <w:p w14:paraId="360C28EC" w14:textId="77777777" w:rsidR="00BA13C5" w:rsidRDefault="00BA13C5" w:rsidP="00BA13C5">
      <w:pPr>
        <w:numPr>
          <w:ilvl w:val="0"/>
          <w:numId w:val="2"/>
        </w:num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加强宣传，营造氛围。</w:t>
      </w:r>
      <w:r>
        <w:rPr>
          <w:rFonts w:ascii="仿宋" w:eastAsia="仿宋" w:hAnsi="仿宋" w:hint="eastAsia"/>
          <w:sz w:val="32"/>
          <w:szCs w:val="32"/>
        </w:rPr>
        <w:t>在新城持续开展“河小二”、</w:t>
      </w:r>
    </w:p>
    <w:p w14:paraId="5D00386C" w14:textId="7EFCF313" w:rsidR="00546D9B" w:rsidRPr="00BA13C5" w:rsidRDefault="00BA13C5" w:rsidP="00BA13C5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“湖小二”宣传，选聘荣誉</w:t>
      </w:r>
      <w:proofErr w:type="gramStart"/>
      <w:r>
        <w:rPr>
          <w:rFonts w:ascii="仿宋" w:eastAsia="仿宋" w:hAnsi="仿宋" w:hint="eastAsia"/>
          <w:sz w:val="32"/>
          <w:szCs w:val="32"/>
        </w:rPr>
        <w:t>市民河</w:t>
      </w:r>
      <w:proofErr w:type="gramEnd"/>
      <w:r>
        <w:rPr>
          <w:rFonts w:ascii="仿宋" w:eastAsia="仿宋" w:hAnsi="仿宋" w:hint="eastAsia"/>
          <w:sz w:val="32"/>
          <w:szCs w:val="32"/>
        </w:rPr>
        <w:t>长湖长，在中小学开展河</w:t>
      </w:r>
      <w:proofErr w:type="gramStart"/>
      <w:r>
        <w:rPr>
          <w:rFonts w:ascii="仿宋" w:eastAsia="仿宋" w:hAnsi="仿宋" w:hint="eastAsia"/>
          <w:sz w:val="32"/>
          <w:szCs w:val="32"/>
        </w:rPr>
        <w:t>长制湖长</w:t>
      </w:r>
      <w:proofErr w:type="gramEnd"/>
      <w:r>
        <w:rPr>
          <w:rFonts w:ascii="仿宋" w:eastAsia="仿宋" w:hAnsi="仿宋" w:hint="eastAsia"/>
          <w:sz w:val="32"/>
          <w:szCs w:val="32"/>
        </w:rPr>
        <w:t>制宣传等活动，形成全民爱水护水氛围。发挥新闻和舆论监督作用，充分利用各类传播载体，深入宣传河</w:t>
      </w:r>
      <w:proofErr w:type="gramStart"/>
      <w:r>
        <w:rPr>
          <w:rFonts w:ascii="仿宋" w:eastAsia="仿宋" w:hAnsi="仿宋" w:hint="eastAsia"/>
          <w:sz w:val="32"/>
          <w:szCs w:val="32"/>
        </w:rPr>
        <w:t>长制湖长</w:t>
      </w:r>
      <w:proofErr w:type="gramEnd"/>
      <w:r>
        <w:rPr>
          <w:rFonts w:ascii="仿宋" w:eastAsia="仿宋" w:hAnsi="仿宋" w:hint="eastAsia"/>
          <w:sz w:val="32"/>
          <w:szCs w:val="32"/>
        </w:rPr>
        <w:t>制和先进典型，曝光破坏水环境现象和不作为行为，凝聚正能量，提高全社会对河湖保护工作的责任意识和参与意识。</w:t>
      </w:r>
      <w:bookmarkStart w:id="0" w:name="_GoBack"/>
      <w:bookmarkEnd w:id="0"/>
    </w:p>
    <w:sectPr w:rsidR="00546D9B" w:rsidRPr="00BA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C6C21"/>
    <w:multiLevelType w:val="multilevel"/>
    <w:tmpl w:val="322414B8"/>
    <w:lvl w:ilvl="0">
      <w:start w:val="1"/>
      <w:numFmt w:val="japaneseCounting"/>
      <w:lvlText w:val="（%1）"/>
      <w:lvlJc w:val="left"/>
      <w:pPr>
        <w:ind w:left="1506" w:hanging="108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56AD7AF3"/>
    <w:multiLevelType w:val="multilevel"/>
    <w:tmpl w:val="56AD7AF3"/>
    <w:lvl w:ilvl="0">
      <w:start w:val="1"/>
      <w:numFmt w:val="japaneseCounting"/>
      <w:lvlText w:val="（%1）"/>
      <w:lvlJc w:val="left"/>
      <w:pPr>
        <w:ind w:left="1647" w:hanging="1080"/>
      </w:p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60"/>
    <w:rsid w:val="00546D9B"/>
    <w:rsid w:val="00633466"/>
    <w:rsid w:val="00803F60"/>
    <w:rsid w:val="00B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AFD5"/>
  <w15:chartTrackingRefBased/>
  <w15:docId w15:val="{09A7DC0B-A382-457D-BAA0-9FC28A20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3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韩星</dc:creator>
  <cp:keywords/>
  <dc:description/>
  <cp:lastModifiedBy>韩星</cp:lastModifiedBy>
  <cp:revision>3</cp:revision>
  <dcterms:created xsi:type="dcterms:W3CDTF">2018-07-25T04:59:00Z</dcterms:created>
  <dcterms:modified xsi:type="dcterms:W3CDTF">2018-07-25T05:04:00Z</dcterms:modified>
</cp:coreProperties>
</file>