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rPr>
          <w:rFonts w:ascii="黑体" w:hAnsi="黑体" w:eastAsia="黑体" w:cs="黑体"/>
          <w:kern w:val="2"/>
          <w:sz w:val="32"/>
        </w:rPr>
      </w:pPr>
      <w:r>
        <w:rPr>
          <w:rFonts w:hint="eastAsia" w:ascii="黑体" w:hAnsi="黑体" w:eastAsia="黑体" w:cs="黑体"/>
          <w:kern w:val="2"/>
          <w:sz w:val="32"/>
        </w:rPr>
        <w:t>附件1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秦汉新城生活垃圾分类达标和示范小区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创建标准（试行）</w:t>
      </w:r>
    </w:p>
    <w:bookmarkEnd w:id="0"/>
    <w:p>
      <w:pPr>
        <w:pStyle w:val="2"/>
        <w:widowControl/>
        <w:spacing w:beforeAutospacing="0" w:afterAutospacing="0" w:line="240" w:lineRule="exact"/>
        <w:ind w:firstLine="420"/>
        <w:jc w:val="center"/>
        <w:rPr>
          <w:rFonts w:ascii="方正小标宋简体" w:hAnsi="方正小标宋简体" w:eastAsia="方正小标宋简体" w:cs="方正小标宋简体"/>
          <w:color w:val="666666"/>
          <w:sz w:val="36"/>
          <w:szCs w:val="36"/>
        </w:rPr>
      </w:pP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一、成立工作小组。</w:t>
      </w:r>
      <w:r>
        <w:rPr>
          <w:rFonts w:ascii="仿宋" w:hAnsi="仿宋" w:eastAsia="仿宋" w:cs="仿宋"/>
          <w:kern w:val="2"/>
          <w:sz w:val="32"/>
        </w:rPr>
        <w:t>工作小组由</w:t>
      </w:r>
      <w:r>
        <w:rPr>
          <w:rFonts w:hint="eastAsia" w:ascii="仿宋" w:hAnsi="仿宋" w:eastAsia="仿宋" w:cs="仿宋"/>
          <w:kern w:val="2"/>
          <w:sz w:val="32"/>
        </w:rPr>
        <w:t>新城</w:t>
      </w:r>
      <w:r>
        <w:rPr>
          <w:rFonts w:ascii="仿宋" w:hAnsi="仿宋" w:eastAsia="仿宋" w:cs="仿宋"/>
          <w:kern w:val="2"/>
          <w:sz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各镇街</w:t>
      </w:r>
      <w:r>
        <w:rPr>
          <w:rFonts w:ascii="仿宋" w:hAnsi="仿宋" w:eastAsia="仿宋" w:cs="仿宋"/>
          <w:kern w:val="2"/>
          <w:sz w:val="32"/>
        </w:rPr>
        <w:t>、社区和物业管理处人员组成，负责示范点垃圾分类的组织、协调，抓好各项工作落实。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二、配备专职督导员。</w:t>
      </w:r>
      <w:r>
        <w:rPr>
          <w:rFonts w:ascii="仿宋" w:hAnsi="仿宋" w:eastAsia="仿宋" w:cs="仿宋"/>
          <w:kern w:val="2"/>
          <w:sz w:val="32"/>
        </w:rPr>
        <w:t>每300户左右配置1名督导员，具体负责示范点垃圾分类的入户宣传、指导，做好居民分类投放的监督和有关统计工作。督导员要佩戴胸牌或袖标上岗。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三、建立工作台账。</w:t>
      </w:r>
      <w:r>
        <w:rPr>
          <w:rFonts w:ascii="仿宋" w:hAnsi="仿宋" w:eastAsia="仿宋" w:cs="仿宋"/>
          <w:kern w:val="2"/>
          <w:sz w:val="32"/>
        </w:rPr>
        <w:t>详细记录每天示范点工作开展情况、存在问题、居民分类投放（参与率、准确率）及分类转运等情况。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四、建立激励机制。</w:t>
      </w:r>
      <w:r>
        <w:rPr>
          <w:rFonts w:ascii="仿宋" w:hAnsi="仿宋" w:eastAsia="仿宋" w:cs="仿宋"/>
          <w:kern w:val="2"/>
          <w:sz w:val="32"/>
        </w:rPr>
        <w:t>居民可以通过参与垃圾分类获得奖励。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五、设置专用宣传栏。</w:t>
      </w:r>
      <w:r>
        <w:rPr>
          <w:rFonts w:ascii="仿宋" w:hAnsi="仿宋" w:eastAsia="仿宋" w:cs="仿宋"/>
          <w:kern w:val="2"/>
          <w:sz w:val="32"/>
        </w:rPr>
        <w:t>根据小区大小设置1个或若干个宣传栏，介绍垃圾分类基础知识。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六、设置公示栏（牌）。</w:t>
      </w:r>
      <w:r>
        <w:rPr>
          <w:rFonts w:ascii="仿宋" w:hAnsi="仿宋" w:eastAsia="仿宋" w:cs="仿宋"/>
          <w:kern w:val="2"/>
          <w:sz w:val="32"/>
        </w:rPr>
        <w:t>根据需要，在小区醒目位置设置1个或数个公示栏（牌），主要公示工作小组成员名单及责任分工；督导员姓名、联系电话；投诉电话等。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黑体" w:hAnsi="楷体" w:eastAsia="黑体" w:cs="楷体"/>
          <w:kern w:val="2"/>
          <w:sz w:val="32"/>
        </w:rPr>
        <w:t>七、设置投放指导牌。</w:t>
      </w:r>
      <w:r>
        <w:rPr>
          <w:rFonts w:ascii="仿宋" w:hAnsi="仿宋" w:eastAsia="仿宋" w:cs="仿宋"/>
          <w:kern w:val="2"/>
          <w:sz w:val="32"/>
        </w:rPr>
        <w:t>在垃圾分类投放桶适当位置设置垃圾分类投放指导牌，内容有：投放时间；垃圾分类指南；收运单位及责任人姓名、投诉电话；督导员姓名和电话等。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八、做好入户宣传。</w:t>
      </w:r>
      <w:r>
        <w:rPr>
          <w:rFonts w:ascii="仿宋" w:hAnsi="仿宋" w:eastAsia="仿宋" w:cs="仿宋"/>
          <w:kern w:val="2"/>
          <w:sz w:val="32"/>
        </w:rPr>
        <w:t>每户</w:t>
      </w:r>
      <w:r>
        <w:rPr>
          <w:rFonts w:hint="eastAsia" w:ascii="仿宋" w:hAnsi="仿宋" w:eastAsia="仿宋" w:cs="仿宋"/>
          <w:kern w:val="2"/>
          <w:sz w:val="32"/>
        </w:rPr>
        <w:t>居民</w:t>
      </w:r>
      <w:r>
        <w:rPr>
          <w:rFonts w:ascii="仿宋" w:hAnsi="仿宋" w:eastAsia="仿宋" w:cs="仿宋"/>
          <w:kern w:val="2"/>
          <w:sz w:val="32"/>
        </w:rPr>
        <w:t>要</w:t>
      </w:r>
      <w:r>
        <w:rPr>
          <w:rFonts w:hint="eastAsia" w:ascii="仿宋" w:hAnsi="仿宋" w:eastAsia="仿宋" w:cs="仿宋"/>
          <w:kern w:val="2"/>
          <w:sz w:val="32"/>
        </w:rPr>
        <w:t>发放</w:t>
      </w:r>
      <w:r>
        <w:rPr>
          <w:rFonts w:ascii="仿宋" w:hAnsi="仿宋" w:eastAsia="仿宋" w:cs="仿宋"/>
          <w:kern w:val="2"/>
          <w:sz w:val="32"/>
        </w:rPr>
        <w:t>一册《</w:t>
      </w:r>
      <w:r>
        <w:rPr>
          <w:rFonts w:hint="eastAsia" w:ascii="仿宋" w:hAnsi="仿宋" w:eastAsia="仿宋" w:cs="仿宋"/>
          <w:kern w:val="2"/>
          <w:sz w:val="32"/>
        </w:rPr>
        <w:t>秦汉新城</w:t>
      </w:r>
      <w:r>
        <w:rPr>
          <w:rFonts w:ascii="仿宋" w:hAnsi="仿宋" w:eastAsia="仿宋" w:cs="仿宋"/>
          <w:kern w:val="2"/>
          <w:sz w:val="32"/>
        </w:rPr>
        <w:t>生活垃圾分类</w:t>
      </w:r>
      <w:r>
        <w:rPr>
          <w:rFonts w:hint="eastAsia" w:ascii="仿宋" w:hAnsi="仿宋" w:eastAsia="仿宋" w:cs="仿宋"/>
          <w:kern w:val="2"/>
          <w:sz w:val="32"/>
        </w:rPr>
        <w:t>指导</w:t>
      </w:r>
      <w:r>
        <w:rPr>
          <w:rFonts w:ascii="仿宋" w:hAnsi="仿宋" w:eastAsia="仿宋" w:cs="仿宋"/>
          <w:kern w:val="2"/>
          <w:sz w:val="32"/>
        </w:rPr>
        <w:t>手册》和一封《告居民一封信》，深入居民家庭宣传、指导垃圾分类工作开展。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九、设置垃圾分类投放桶。</w:t>
      </w:r>
      <w:r>
        <w:rPr>
          <w:rFonts w:ascii="仿宋" w:hAnsi="仿宋" w:eastAsia="仿宋" w:cs="仿宋"/>
          <w:kern w:val="2"/>
          <w:sz w:val="32"/>
        </w:rPr>
        <w:t>按“四分类”要求分别设置有害垃圾、可回收物、厨余垃圾和</w:t>
      </w:r>
      <w:r>
        <w:rPr>
          <w:rFonts w:hint="eastAsia" w:ascii="仿宋" w:hAnsi="仿宋" w:eastAsia="仿宋" w:cs="仿宋"/>
          <w:kern w:val="2"/>
          <w:sz w:val="32"/>
        </w:rPr>
        <w:t>其他</w:t>
      </w:r>
      <w:r>
        <w:rPr>
          <w:rFonts w:ascii="仿宋" w:hAnsi="仿宋" w:eastAsia="仿宋" w:cs="仿宋"/>
          <w:kern w:val="2"/>
          <w:sz w:val="32"/>
        </w:rPr>
        <w:t>垃圾“四类”投放桶。有害垃圾和可回收物投放桶设置数量根据小区大小和实际需求配备，设置在便于居民投放、收运的位置；厨余垃圾和</w:t>
      </w:r>
      <w:r>
        <w:rPr>
          <w:rFonts w:hint="eastAsia" w:ascii="仿宋" w:hAnsi="仿宋" w:eastAsia="仿宋" w:cs="仿宋"/>
          <w:kern w:val="2"/>
          <w:sz w:val="32"/>
        </w:rPr>
        <w:t>其他</w:t>
      </w:r>
      <w:r>
        <w:rPr>
          <w:rFonts w:ascii="仿宋" w:hAnsi="仿宋" w:eastAsia="仿宋" w:cs="仿宋"/>
          <w:kern w:val="2"/>
          <w:sz w:val="32"/>
        </w:rPr>
        <w:t>垃圾按35户左右配备1个240升的投放桶设置在楼道口附近便于收运的适当位置（120升投放桶按20户左右配备1个）。投放桶要摆放整齐，外观整洁干净，设置点地面要进行硬化处理。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十、分类投放。</w:t>
      </w:r>
      <w:r>
        <w:rPr>
          <w:rFonts w:ascii="仿宋" w:hAnsi="仿宋" w:eastAsia="仿宋" w:cs="仿宋"/>
          <w:kern w:val="2"/>
          <w:sz w:val="32"/>
        </w:rPr>
        <w:t>严格按“四分类”要求组织、引导居民投放垃圾。居民分类投放垃圾的参与率和准确率不低于90%和80%。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十一、分类收运。</w:t>
      </w:r>
      <w:r>
        <w:rPr>
          <w:rFonts w:ascii="仿宋" w:hAnsi="仿宋" w:eastAsia="仿宋" w:cs="仿宋"/>
          <w:kern w:val="2"/>
          <w:sz w:val="32"/>
        </w:rPr>
        <w:t>厨余垃圾和</w:t>
      </w:r>
      <w:r>
        <w:rPr>
          <w:rFonts w:hint="eastAsia" w:ascii="仿宋" w:hAnsi="仿宋" w:eastAsia="仿宋" w:cs="仿宋"/>
          <w:kern w:val="2"/>
          <w:sz w:val="32"/>
        </w:rPr>
        <w:t>其他</w:t>
      </w:r>
      <w:r>
        <w:rPr>
          <w:rFonts w:ascii="仿宋" w:hAnsi="仿宋" w:eastAsia="仿宋" w:cs="仿宋"/>
          <w:kern w:val="2"/>
          <w:sz w:val="32"/>
        </w:rPr>
        <w:t>垃圾要做到日产日清，有害垃圾和可回收物清运时间根据实际需要确定。垃圾分类收运工作由小区物业管理部门负责监督落实。</w:t>
      </w:r>
    </w:p>
    <w:p>
      <w:pPr>
        <w:pStyle w:val="2"/>
        <w:widowControl/>
        <w:spacing w:beforeAutospacing="0" w:afterAutospacing="0" w:line="560" w:lineRule="exact"/>
        <w:ind w:firstLine="640"/>
        <w:jc w:val="both"/>
        <w:rPr>
          <w:rFonts w:ascii="黑体" w:hAnsi="黑体" w:eastAsia="黑体" w:cs="黑体"/>
          <w:kern w:val="2"/>
          <w:sz w:val="32"/>
        </w:rPr>
      </w:pPr>
      <w:r>
        <w:rPr>
          <w:rFonts w:hint="eastAsia" w:ascii="黑体" w:hAnsi="楷体" w:eastAsia="黑体" w:cs="楷体"/>
          <w:kern w:val="2"/>
          <w:sz w:val="32"/>
        </w:rPr>
        <w:t>十二、开拓创新。</w:t>
      </w:r>
      <w:r>
        <w:rPr>
          <w:rFonts w:ascii="仿宋" w:hAnsi="仿宋" w:eastAsia="仿宋" w:cs="仿宋"/>
          <w:kern w:val="2"/>
          <w:sz w:val="32"/>
        </w:rPr>
        <w:t>以本规范为基本依据，以目标为牵引，紧密结合示范点小区的实际，积极探索，创造性开展工作，不断创新工作方法，形成可复制、可推广的经验。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1DA9"/>
    <w:rsid w:val="29A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2019-11-11T06:33:00Z</dcterms:created>
  <dc:creator>Jackie</dc:creator>
  <cp:lastModifiedBy>Jackie</cp:lastModifiedBy>
  <dcterms:modified xsi:type="dcterms:W3CDTF">2019-11-11T06:33:54Z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