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32"/>
        </w:rPr>
        <w:t>附件3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秦汉新城生活垃圾分类达标和示范单位创建标准（试行）</w:t>
      </w:r>
    </w:p>
    <w:bookmarkEnd w:id="0"/>
    <w:p>
      <w:pPr>
        <w:pStyle w:val="2"/>
        <w:widowControl/>
        <w:spacing w:beforeAutospacing="0" w:afterAutospacing="0" w:line="240" w:lineRule="exact"/>
        <w:ind w:firstLine="420"/>
        <w:jc w:val="center"/>
        <w:rPr>
          <w:rFonts w:ascii="黑体" w:hAnsi="黑体" w:eastAsia="黑体" w:cs="方正小标宋简体"/>
          <w:kern w:val="2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一、组织领导有力。</w:t>
      </w:r>
      <w:r>
        <w:rPr>
          <w:rFonts w:ascii="仿宋" w:hAnsi="仿宋" w:eastAsia="仿宋" w:cs="Times New Roman"/>
          <w:sz w:val="32"/>
          <w:lang w:bidi="en-US"/>
        </w:rPr>
        <w:t>单位高度重视，成立生活垃圾分类工作领导小组，定期召开专题会议研究生活垃圾分类工作，落实生活垃圾分类制度、经费、人员等，强化监督检查，推动生活垃圾强制分类工作有序开展。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二、公示宣传到位。</w:t>
      </w:r>
      <w:r>
        <w:rPr>
          <w:rFonts w:ascii="仿宋" w:hAnsi="仿宋" w:eastAsia="仿宋" w:cs="Times New Roman"/>
          <w:sz w:val="32"/>
          <w:lang w:bidi="en-US"/>
        </w:rPr>
        <w:t>在单位交通要道或醒目位置应配置分类公示牌，公示内容为垃圾分类类别、分类管理责任人和分类投放规范、分类收运及处理渠道、管理部门监督电话等。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黑体" w:hAnsi="黑体" w:eastAsia="黑体" w:cs="楷体"/>
          <w:sz w:val="32"/>
          <w:lang w:bidi="en-US"/>
        </w:rPr>
        <w:t>三、责任告知履行。</w:t>
      </w:r>
      <w:r>
        <w:rPr>
          <w:rFonts w:ascii="仿宋" w:hAnsi="仿宋" w:eastAsia="仿宋" w:cs="Times New Roman"/>
          <w:sz w:val="32"/>
          <w:lang w:bidi="en-US"/>
        </w:rPr>
        <w:t>依据《西安市城市生活垃圾分类三年行动方案》，由单位以书面形式向职工告知生活垃圾分类主要内容、权利义务、标准规范，并统一制作告知书。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黑体" w:hAnsi="黑体" w:eastAsia="黑体" w:cs="楷体"/>
          <w:sz w:val="32"/>
          <w:lang w:bidi="en-US"/>
        </w:rPr>
        <w:t>四、宣传培训积极。</w:t>
      </w:r>
      <w:r>
        <w:rPr>
          <w:rFonts w:ascii="仿宋" w:hAnsi="仿宋" w:eastAsia="仿宋" w:cs="Times New Roman"/>
          <w:sz w:val="32"/>
          <w:lang w:bidi="en-US"/>
        </w:rPr>
        <w:t>要定期组织垃圾分类培训及相关活动，对职工开展垃圾分类相关知识培训和操作指导</w:t>
      </w:r>
      <w:r>
        <w:rPr>
          <w:rFonts w:hint="eastAsia" w:ascii="仿宋" w:hAnsi="仿宋" w:eastAsia="仿宋" w:cs="Times New Roman"/>
          <w:sz w:val="32"/>
          <w:lang w:bidi="en-US"/>
        </w:rPr>
        <w:t>，</w:t>
      </w:r>
      <w:r>
        <w:rPr>
          <w:rFonts w:ascii="仿宋" w:hAnsi="仿宋" w:eastAsia="仿宋" w:cs="Times New Roman"/>
          <w:sz w:val="32"/>
          <w:lang w:bidi="en-US"/>
        </w:rPr>
        <w:t>日常积极开展垃圾分类宣传工作，交通要道或醒目位置有关于垃圾分类方法、要求和责任人等内容的明显宣传标语与海报等。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五、设施设置合理。</w:t>
      </w:r>
      <w:r>
        <w:rPr>
          <w:rFonts w:ascii="仿宋" w:hAnsi="仿宋" w:eastAsia="仿宋" w:cs="Times New Roman"/>
          <w:sz w:val="32"/>
          <w:lang w:bidi="en-US"/>
        </w:rPr>
        <w:t>根据单位实际，因地制宜地配齐、配足生活垃圾分类收集容器与暂存空间。每个办公室设置其他垃圾收集容器；在楼梯间、楼层廊道等区域，设置可回收物收集容器、其他垃圾收集容器；按便捷、安全的原则，集中设置有害垃圾收集容器；在食堂与就餐区域设置</w:t>
      </w:r>
      <w:r>
        <w:rPr>
          <w:rFonts w:hint="eastAsia" w:ascii="仿宋" w:hAnsi="仿宋" w:eastAsia="仿宋" w:cs="Times New Roman"/>
          <w:sz w:val="32"/>
          <w:lang w:bidi="en-US"/>
        </w:rPr>
        <w:t>厨余</w:t>
      </w:r>
      <w:r>
        <w:rPr>
          <w:rFonts w:ascii="仿宋" w:hAnsi="仿宋" w:eastAsia="仿宋" w:cs="Times New Roman"/>
          <w:sz w:val="32"/>
          <w:lang w:bidi="en-US"/>
        </w:rPr>
        <w:t>垃圾、其他垃圾收集容器，在茶水间设置收集茶叶渣、瓜果皮的收集容器。各单位应设置垃圾集中存放区域，集中存放区域应配置与生活垃圾收运系统相配套的240升或120升标准容器。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六、分类投放准确。</w:t>
      </w:r>
      <w:r>
        <w:rPr>
          <w:rFonts w:ascii="仿宋" w:hAnsi="仿宋" w:eastAsia="仿宋" w:cs="Times New Roman"/>
          <w:sz w:val="32"/>
          <w:lang w:bidi="en-US"/>
        </w:rPr>
        <w:t>单位按照《</w:t>
      </w:r>
      <w:r>
        <w:rPr>
          <w:rFonts w:hint="eastAsia" w:ascii="仿宋" w:hAnsi="仿宋" w:eastAsia="仿宋" w:cs="Times New Roman"/>
          <w:sz w:val="32"/>
          <w:lang w:bidi="en-US"/>
        </w:rPr>
        <w:t>秦汉新城</w:t>
      </w:r>
      <w:r>
        <w:rPr>
          <w:rFonts w:ascii="仿宋" w:hAnsi="仿宋" w:eastAsia="仿宋" w:cs="Times New Roman"/>
          <w:sz w:val="32"/>
          <w:lang w:bidi="en-US"/>
        </w:rPr>
        <w:t>生活垃圾分类指导</w:t>
      </w:r>
      <w:r>
        <w:rPr>
          <w:rFonts w:hint="eastAsia" w:ascii="仿宋" w:hAnsi="仿宋" w:eastAsia="仿宋" w:cs="Times New Roman"/>
          <w:sz w:val="32"/>
          <w:lang w:bidi="en-US"/>
        </w:rPr>
        <w:t>手册</w:t>
      </w:r>
      <w:r>
        <w:rPr>
          <w:rFonts w:ascii="仿宋" w:hAnsi="仿宋" w:eastAsia="仿宋" w:cs="Times New Roman"/>
          <w:sz w:val="32"/>
          <w:lang w:bidi="en-US"/>
        </w:rPr>
        <w:t>》，将生活垃圾中的可回收物、</w:t>
      </w:r>
      <w:r>
        <w:rPr>
          <w:rFonts w:hint="eastAsia" w:ascii="仿宋" w:hAnsi="仿宋" w:eastAsia="仿宋" w:cs="Times New Roman"/>
          <w:sz w:val="32"/>
          <w:lang w:bidi="en-US"/>
        </w:rPr>
        <w:t>厨余</w:t>
      </w:r>
      <w:r>
        <w:rPr>
          <w:rFonts w:ascii="仿宋" w:hAnsi="仿宋" w:eastAsia="仿宋" w:cs="Times New Roman"/>
          <w:sz w:val="32"/>
          <w:lang w:bidi="en-US"/>
        </w:rPr>
        <w:t>垃圾、有害垃圾、其他垃圾分别投放至对应的收集容器</w:t>
      </w:r>
      <w:r>
        <w:rPr>
          <w:rFonts w:hint="eastAsia" w:ascii="仿宋" w:hAnsi="仿宋" w:eastAsia="仿宋" w:cs="Times New Roman"/>
          <w:sz w:val="32"/>
          <w:lang w:bidi="en-US"/>
        </w:rPr>
        <w:t>，</w:t>
      </w:r>
      <w:r>
        <w:rPr>
          <w:rFonts w:ascii="仿宋" w:hAnsi="仿宋" w:eastAsia="仿宋" w:cs="Times New Roman"/>
          <w:sz w:val="32"/>
          <w:lang w:bidi="en-US"/>
        </w:rPr>
        <w:t>生活垃圾分类参与率、知晓率、投放准确率不低于90%。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七、分类收运体系完整。</w:t>
      </w:r>
      <w:r>
        <w:rPr>
          <w:rFonts w:ascii="仿宋" w:hAnsi="仿宋" w:eastAsia="仿宋" w:cs="Times New Roman"/>
          <w:sz w:val="32"/>
          <w:lang w:bidi="en-US"/>
        </w:rPr>
        <w:t>可回收物可自行出售，并做好出售品种与数量记录；</w:t>
      </w:r>
      <w:r>
        <w:rPr>
          <w:rFonts w:hint="eastAsia" w:ascii="仿宋" w:hAnsi="仿宋" w:eastAsia="仿宋" w:cs="Times New Roman"/>
          <w:sz w:val="32"/>
          <w:lang w:bidi="en-US"/>
        </w:rPr>
        <w:t>厨余</w:t>
      </w:r>
      <w:r>
        <w:rPr>
          <w:rFonts w:ascii="仿宋" w:hAnsi="仿宋" w:eastAsia="仿宋" w:cs="Times New Roman"/>
          <w:sz w:val="32"/>
          <w:lang w:bidi="en-US"/>
        </w:rPr>
        <w:t>垃圾、有害垃圾、其他垃圾应委托辖区城管环卫部门统一组织收运。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八、推行绿色办公。</w:t>
      </w:r>
      <w:r>
        <w:rPr>
          <w:rFonts w:ascii="仿宋" w:hAnsi="仿宋" w:eastAsia="仿宋" w:cs="Times New Roman"/>
          <w:sz w:val="32"/>
          <w:lang w:bidi="en-US"/>
        </w:rPr>
        <w:t>推进信息系统建设和数据共享共用，推行无纸化办公，全面实施纸张双面打印。提倡重复使用，鼓励自带水杯，使用可更换笔芯的签字笔，减少一次性物品使用。贯彻落实关于厉行节约反对食品浪费的意见，深入实施光盘行动，减少餐厨垃圾产生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九、重视源头治理。</w:t>
      </w:r>
      <w:r>
        <w:rPr>
          <w:rFonts w:ascii="仿宋" w:hAnsi="仿宋" w:eastAsia="仿宋" w:cs="Times New Roman"/>
          <w:sz w:val="32"/>
          <w:lang w:bidi="en-US"/>
        </w:rPr>
        <w:t>探索实施物业服务+分类服务的模式，加强生活垃圾源头分类工作，做好废快递包装物、废饮料包装、废玻璃、废塑料等低价值可回收物的收运工作。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Times New Roman"/>
          <w:sz w:val="32"/>
          <w:lang w:bidi="en-US"/>
        </w:rPr>
      </w:pPr>
      <w:r>
        <w:rPr>
          <w:rFonts w:hint="eastAsia" w:ascii="黑体" w:hAnsi="黑体" w:eastAsia="黑体" w:cs="楷体"/>
          <w:sz w:val="32"/>
          <w:lang w:bidi="en-US"/>
        </w:rPr>
        <w:t>十、提倡定时投放。</w:t>
      </w:r>
      <w:r>
        <w:rPr>
          <w:rFonts w:ascii="仿宋" w:hAnsi="仿宋" w:eastAsia="仿宋" w:cs="Times New Roman"/>
          <w:sz w:val="32"/>
          <w:lang w:bidi="en-US"/>
        </w:rPr>
        <w:t>鼓励各单位根据实际情况，制定可回收物、有害垃圾以及其他垃圾定时定点投放制度，实施定时定点投放，以集中精力开展投放环节的指导与监督，提高分类质量，促进生活垃圾分类习惯的养成。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55AC3"/>
    <w:rsid w:val="1535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2019-11-11T06:34:00Z</dcterms:created>
  <dc:creator>Jackie</dc:creator>
  <cp:lastModifiedBy>Jackie</cp:lastModifiedBy>
  <dcterms:modified xsi:type="dcterms:W3CDTF">2019-11-11T06:34:56Z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